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B6AB9" w:rsidRPr="00A2530A" w:rsidRDefault="00A2530A" w:rsidP="007C5DEB">
      <w:pPr>
        <w:pBdr>
          <w:top w:val="nil"/>
          <w:left w:val="nil"/>
          <w:bottom w:val="nil"/>
          <w:right w:val="nil"/>
          <w:between w:val="nil"/>
        </w:pBdr>
        <w:tabs>
          <w:tab w:val="left" w:pos="284"/>
        </w:tabs>
        <w:spacing w:after="120" w:line="360" w:lineRule="auto"/>
        <w:jc w:val="both"/>
        <w:rPr>
          <w:rFonts w:ascii="Arial" w:eastAsia="Arial" w:hAnsi="Arial" w:cs="Arial"/>
          <w:b/>
          <w:color w:val="010000"/>
          <w:sz w:val="20"/>
          <w:szCs w:val="20"/>
        </w:rPr>
      </w:pPr>
      <w:r w:rsidRPr="00A2530A">
        <w:rPr>
          <w:rFonts w:ascii="Arial" w:hAnsi="Arial" w:cs="Arial"/>
          <w:b/>
          <w:color w:val="010000"/>
          <w:sz w:val="20"/>
        </w:rPr>
        <w:t>HKT: Board Resolution</w:t>
      </w:r>
    </w:p>
    <w:p w14:paraId="00000002" w14:textId="34D10759" w:rsidR="002B6AB9" w:rsidRPr="00A2530A" w:rsidRDefault="00A2530A" w:rsidP="007C5DEB">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A2530A">
        <w:rPr>
          <w:rFonts w:ascii="Arial" w:hAnsi="Arial" w:cs="Arial"/>
          <w:color w:val="010000"/>
          <w:sz w:val="20"/>
        </w:rPr>
        <w:t xml:space="preserve">On September 29, 2025, QP Green Investment Joint Stock Company announced Resolution No. 22/2025/NQ-HDQT on the transfer of 839,000 shares of QP Green Investment Joint Stock Company owned at Dai Thanh Phat Investment &amp; Development Joint Stock Company as follows: </w:t>
      </w:r>
    </w:p>
    <w:p w14:paraId="00000003" w14:textId="52C22ABD" w:rsidR="002B6AB9" w:rsidRPr="00A2530A" w:rsidRDefault="00A2530A" w:rsidP="007C5DEB">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A2530A">
        <w:rPr>
          <w:rFonts w:ascii="Arial" w:hAnsi="Arial" w:cs="Arial"/>
          <w:color w:val="010000"/>
          <w:sz w:val="20"/>
        </w:rPr>
        <w:t>‎‎Article 1. Approve the transfer of shares owned by QP Green Investment Joint Stock Company at Dai Thanh Phat Investment &amp; Development Joint Stock Company (Business code: 0106310788 first issued by Hanoi Authority for Planning and Investment on October 3, 2014 - Head office address: 1st Floor, No. 8, Adjacent to 6B, European Overseas Vietnamese Village, Mo Lao Ward, Ha Dong District, Hanoi City) as follows:</w:t>
      </w:r>
    </w:p>
    <w:p w14:paraId="00000004" w14:textId="77777777" w:rsidR="002B6AB9" w:rsidRPr="00A2530A" w:rsidRDefault="00A2530A" w:rsidP="007C5DEB">
      <w:pPr>
        <w:numPr>
          <w:ilvl w:val="0"/>
          <w:numId w:val="1"/>
        </w:numPr>
        <w:pBdr>
          <w:top w:val="nil"/>
          <w:left w:val="nil"/>
          <w:bottom w:val="nil"/>
          <w:right w:val="nil"/>
          <w:between w:val="nil"/>
        </w:pBdr>
        <w:tabs>
          <w:tab w:val="left" w:pos="284"/>
          <w:tab w:val="left" w:pos="1258"/>
        </w:tabs>
        <w:spacing w:after="120" w:line="360" w:lineRule="auto"/>
        <w:jc w:val="both"/>
        <w:rPr>
          <w:rFonts w:ascii="Arial" w:eastAsia="Arial" w:hAnsi="Arial" w:cs="Arial"/>
          <w:color w:val="010000"/>
          <w:sz w:val="20"/>
          <w:szCs w:val="20"/>
        </w:rPr>
      </w:pPr>
      <w:r w:rsidRPr="00A2530A">
        <w:rPr>
          <w:rFonts w:ascii="Arial" w:hAnsi="Arial" w:cs="Arial"/>
          <w:color w:val="010000"/>
          <w:sz w:val="20"/>
        </w:rPr>
        <w:t xml:space="preserve">Number of shares owned: 839,000 shares </w:t>
      </w:r>
    </w:p>
    <w:p w14:paraId="00000005" w14:textId="567783CE" w:rsidR="002B6AB9" w:rsidRPr="00A2530A" w:rsidRDefault="00A2530A" w:rsidP="007C5DEB">
      <w:pPr>
        <w:numPr>
          <w:ilvl w:val="0"/>
          <w:numId w:val="1"/>
        </w:numPr>
        <w:pBdr>
          <w:top w:val="nil"/>
          <w:left w:val="nil"/>
          <w:bottom w:val="nil"/>
          <w:right w:val="nil"/>
          <w:between w:val="nil"/>
        </w:pBdr>
        <w:tabs>
          <w:tab w:val="left" w:pos="284"/>
          <w:tab w:val="left" w:pos="1258"/>
        </w:tabs>
        <w:spacing w:after="120" w:line="360" w:lineRule="auto"/>
        <w:jc w:val="both"/>
        <w:rPr>
          <w:rFonts w:ascii="Arial" w:eastAsia="Arial" w:hAnsi="Arial" w:cs="Arial"/>
          <w:color w:val="010000"/>
          <w:sz w:val="20"/>
          <w:szCs w:val="20"/>
        </w:rPr>
      </w:pPr>
      <w:r w:rsidRPr="00A2530A">
        <w:rPr>
          <w:rFonts w:ascii="Arial" w:hAnsi="Arial" w:cs="Arial"/>
          <w:color w:val="010000"/>
          <w:sz w:val="20"/>
        </w:rPr>
        <w:t>Rate: 3.8% of charter capital</w:t>
      </w:r>
    </w:p>
    <w:p w14:paraId="00000006" w14:textId="77777777" w:rsidR="002B6AB9" w:rsidRPr="00A2530A" w:rsidRDefault="00A2530A" w:rsidP="007C5DEB">
      <w:pPr>
        <w:numPr>
          <w:ilvl w:val="0"/>
          <w:numId w:val="1"/>
        </w:numPr>
        <w:pBdr>
          <w:top w:val="nil"/>
          <w:left w:val="nil"/>
          <w:bottom w:val="nil"/>
          <w:right w:val="nil"/>
          <w:between w:val="nil"/>
        </w:pBdr>
        <w:tabs>
          <w:tab w:val="left" w:pos="284"/>
          <w:tab w:val="left" w:pos="1258"/>
        </w:tabs>
        <w:spacing w:after="120" w:line="360" w:lineRule="auto"/>
        <w:jc w:val="both"/>
        <w:rPr>
          <w:rFonts w:ascii="Arial" w:eastAsia="Arial" w:hAnsi="Arial" w:cs="Arial"/>
          <w:color w:val="010000"/>
          <w:sz w:val="20"/>
          <w:szCs w:val="20"/>
        </w:rPr>
      </w:pPr>
      <w:r w:rsidRPr="00A2530A">
        <w:rPr>
          <w:rFonts w:ascii="Arial" w:hAnsi="Arial" w:cs="Arial"/>
          <w:color w:val="010000"/>
          <w:sz w:val="20"/>
        </w:rPr>
        <w:t>Type of shares: Common shares</w:t>
      </w:r>
    </w:p>
    <w:p w14:paraId="00000007" w14:textId="77777777" w:rsidR="002B6AB9" w:rsidRPr="00A2530A" w:rsidRDefault="00A2530A" w:rsidP="007C5DEB">
      <w:pPr>
        <w:numPr>
          <w:ilvl w:val="0"/>
          <w:numId w:val="1"/>
        </w:numPr>
        <w:pBdr>
          <w:top w:val="nil"/>
          <w:left w:val="nil"/>
          <w:bottom w:val="nil"/>
          <w:right w:val="nil"/>
          <w:between w:val="nil"/>
        </w:pBdr>
        <w:tabs>
          <w:tab w:val="left" w:pos="284"/>
          <w:tab w:val="left" w:pos="1258"/>
        </w:tabs>
        <w:spacing w:after="120" w:line="360" w:lineRule="auto"/>
        <w:jc w:val="both"/>
        <w:rPr>
          <w:rFonts w:ascii="Arial" w:eastAsia="Arial" w:hAnsi="Arial" w:cs="Arial"/>
          <w:color w:val="010000"/>
          <w:sz w:val="20"/>
          <w:szCs w:val="20"/>
        </w:rPr>
      </w:pPr>
      <w:r w:rsidRPr="00A2530A">
        <w:rPr>
          <w:rFonts w:ascii="Arial" w:hAnsi="Arial" w:cs="Arial"/>
          <w:color w:val="010000"/>
          <w:sz w:val="20"/>
        </w:rPr>
        <w:t>Par value: VND10,000/share</w:t>
      </w:r>
    </w:p>
    <w:p w14:paraId="00000008" w14:textId="77777777" w:rsidR="002B6AB9" w:rsidRPr="00A2530A" w:rsidRDefault="00A2530A" w:rsidP="007C5DEB">
      <w:pPr>
        <w:numPr>
          <w:ilvl w:val="0"/>
          <w:numId w:val="1"/>
        </w:numPr>
        <w:pBdr>
          <w:top w:val="nil"/>
          <w:left w:val="nil"/>
          <w:bottom w:val="nil"/>
          <w:right w:val="nil"/>
          <w:between w:val="nil"/>
        </w:pBdr>
        <w:tabs>
          <w:tab w:val="left" w:pos="284"/>
          <w:tab w:val="left" w:pos="1278"/>
        </w:tabs>
        <w:spacing w:after="120" w:line="360" w:lineRule="auto"/>
        <w:jc w:val="both"/>
        <w:rPr>
          <w:rFonts w:ascii="Arial" w:eastAsia="Arial" w:hAnsi="Arial" w:cs="Arial"/>
          <w:color w:val="010000"/>
          <w:sz w:val="20"/>
          <w:szCs w:val="20"/>
        </w:rPr>
      </w:pPr>
      <w:r w:rsidRPr="00A2530A">
        <w:rPr>
          <w:rFonts w:ascii="Arial" w:hAnsi="Arial" w:cs="Arial"/>
          <w:color w:val="010000"/>
          <w:sz w:val="20"/>
        </w:rPr>
        <w:t xml:space="preserve">Number of shares transferred: 839,000 shares </w:t>
      </w:r>
    </w:p>
    <w:p w14:paraId="00000009" w14:textId="7D1BA862" w:rsidR="002B6AB9" w:rsidRPr="00A2530A" w:rsidRDefault="00A2530A" w:rsidP="007C5DEB">
      <w:pPr>
        <w:numPr>
          <w:ilvl w:val="0"/>
          <w:numId w:val="1"/>
        </w:numPr>
        <w:pBdr>
          <w:top w:val="nil"/>
          <w:left w:val="nil"/>
          <w:bottom w:val="nil"/>
          <w:right w:val="nil"/>
          <w:between w:val="nil"/>
        </w:pBdr>
        <w:tabs>
          <w:tab w:val="left" w:pos="284"/>
          <w:tab w:val="left" w:pos="1278"/>
        </w:tabs>
        <w:spacing w:after="120" w:line="360" w:lineRule="auto"/>
        <w:jc w:val="both"/>
        <w:rPr>
          <w:rFonts w:ascii="Arial" w:eastAsia="Arial" w:hAnsi="Arial" w:cs="Arial"/>
          <w:color w:val="010000"/>
          <w:sz w:val="20"/>
          <w:szCs w:val="20"/>
        </w:rPr>
      </w:pPr>
      <w:r w:rsidRPr="00A2530A">
        <w:rPr>
          <w:rFonts w:ascii="Arial" w:hAnsi="Arial" w:cs="Arial"/>
          <w:color w:val="010000"/>
          <w:sz w:val="20"/>
        </w:rPr>
        <w:t>Transfer price: VND10,500/share (This transfer price is 5% higher than the cost of goods sold, and 5.3% higher than the</w:t>
      </w:r>
      <w:bookmarkStart w:id="0" w:name="_GoBack"/>
      <w:bookmarkEnd w:id="0"/>
      <w:r w:rsidRPr="00A2530A">
        <w:rPr>
          <w:rFonts w:ascii="Arial" w:hAnsi="Arial" w:cs="Arial"/>
          <w:color w:val="010000"/>
          <w:sz w:val="20"/>
        </w:rPr>
        <w:t xml:space="preserve"> book value as of December 31, 2024 of Dai Thanh Phat Investment &amp; Development Joint Stock Company)</w:t>
      </w:r>
    </w:p>
    <w:p w14:paraId="0000000A" w14:textId="77777777" w:rsidR="002B6AB9" w:rsidRPr="00A2530A" w:rsidRDefault="00A2530A" w:rsidP="007C5DEB">
      <w:pPr>
        <w:numPr>
          <w:ilvl w:val="0"/>
          <w:numId w:val="1"/>
        </w:numPr>
        <w:pBdr>
          <w:top w:val="nil"/>
          <w:left w:val="nil"/>
          <w:bottom w:val="nil"/>
          <w:right w:val="nil"/>
          <w:between w:val="nil"/>
        </w:pBdr>
        <w:tabs>
          <w:tab w:val="left" w:pos="284"/>
          <w:tab w:val="left" w:pos="1278"/>
        </w:tabs>
        <w:spacing w:after="120" w:line="360" w:lineRule="auto"/>
        <w:jc w:val="both"/>
        <w:rPr>
          <w:rFonts w:ascii="Arial" w:eastAsia="Arial" w:hAnsi="Arial" w:cs="Arial"/>
          <w:color w:val="010000"/>
          <w:sz w:val="20"/>
          <w:szCs w:val="20"/>
        </w:rPr>
      </w:pPr>
      <w:r w:rsidRPr="00A2530A">
        <w:rPr>
          <w:rFonts w:ascii="Arial" w:hAnsi="Arial" w:cs="Arial"/>
          <w:color w:val="010000"/>
          <w:sz w:val="20"/>
        </w:rPr>
        <w:t>Total transfer value: VND8,809,500,000.</w:t>
      </w:r>
    </w:p>
    <w:p w14:paraId="0000000B" w14:textId="7084CB13" w:rsidR="002B6AB9" w:rsidRPr="00A2530A" w:rsidRDefault="00A2530A" w:rsidP="007C5DEB">
      <w:pPr>
        <w:numPr>
          <w:ilvl w:val="0"/>
          <w:numId w:val="1"/>
        </w:numPr>
        <w:pBdr>
          <w:top w:val="nil"/>
          <w:left w:val="nil"/>
          <w:bottom w:val="nil"/>
          <w:right w:val="nil"/>
          <w:between w:val="nil"/>
        </w:pBdr>
        <w:tabs>
          <w:tab w:val="left" w:pos="284"/>
          <w:tab w:val="left" w:pos="1258"/>
        </w:tabs>
        <w:spacing w:after="120" w:line="360" w:lineRule="auto"/>
        <w:jc w:val="both"/>
        <w:rPr>
          <w:rFonts w:ascii="Arial" w:eastAsia="Arial" w:hAnsi="Arial" w:cs="Arial"/>
          <w:color w:val="010000"/>
          <w:sz w:val="20"/>
          <w:szCs w:val="20"/>
        </w:rPr>
      </w:pPr>
      <w:r w:rsidRPr="00A2530A">
        <w:rPr>
          <w:rFonts w:ascii="Arial" w:hAnsi="Arial" w:cs="Arial"/>
          <w:color w:val="010000"/>
          <w:sz w:val="20"/>
        </w:rPr>
        <w:t>Original cost of investment capital: VND8,390,000,000</w:t>
      </w:r>
      <w:r w:rsidR="007C5DEB">
        <w:rPr>
          <w:rFonts w:ascii="Arial" w:hAnsi="Arial" w:cs="Arial"/>
          <w:color w:val="010000"/>
          <w:sz w:val="20"/>
        </w:rPr>
        <w:t xml:space="preserve"> </w:t>
      </w:r>
      <w:r w:rsidRPr="00A2530A">
        <w:rPr>
          <w:rFonts w:ascii="Arial" w:hAnsi="Arial" w:cs="Arial"/>
          <w:color w:val="010000"/>
          <w:sz w:val="20"/>
        </w:rPr>
        <w:t>(equivalent to VND10,000/share)</w:t>
      </w:r>
    </w:p>
    <w:p w14:paraId="0000000C" w14:textId="77777777" w:rsidR="002B6AB9" w:rsidRPr="00A2530A" w:rsidRDefault="00A2530A" w:rsidP="007C5DEB">
      <w:pPr>
        <w:numPr>
          <w:ilvl w:val="0"/>
          <w:numId w:val="1"/>
        </w:numPr>
        <w:pBdr>
          <w:top w:val="nil"/>
          <w:left w:val="nil"/>
          <w:bottom w:val="nil"/>
          <w:right w:val="nil"/>
          <w:between w:val="nil"/>
        </w:pBdr>
        <w:tabs>
          <w:tab w:val="left" w:pos="284"/>
          <w:tab w:val="left" w:pos="1258"/>
        </w:tabs>
        <w:spacing w:after="120" w:line="360" w:lineRule="auto"/>
        <w:jc w:val="both"/>
        <w:rPr>
          <w:rFonts w:ascii="Arial" w:eastAsia="Arial" w:hAnsi="Arial" w:cs="Arial"/>
          <w:color w:val="010000"/>
          <w:sz w:val="20"/>
          <w:szCs w:val="20"/>
        </w:rPr>
      </w:pPr>
      <w:r w:rsidRPr="00A2530A">
        <w:rPr>
          <w:rFonts w:ascii="Arial" w:hAnsi="Arial" w:cs="Arial"/>
          <w:color w:val="010000"/>
          <w:sz w:val="20"/>
        </w:rPr>
        <w:t>Divestment profit (excluding taxes and fees): VND419,500,000 (5%)</w:t>
      </w:r>
    </w:p>
    <w:p w14:paraId="0000000D" w14:textId="77777777" w:rsidR="002B6AB9" w:rsidRPr="00A2530A" w:rsidRDefault="00A2530A" w:rsidP="007C5DEB">
      <w:pPr>
        <w:numPr>
          <w:ilvl w:val="0"/>
          <w:numId w:val="1"/>
        </w:numPr>
        <w:pBdr>
          <w:top w:val="nil"/>
          <w:left w:val="nil"/>
          <w:bottom w:val="nil"/>
          <w:right w:val="nil"/>
          <w:between w:val="nil"/>
        </w:pBdr>
        <w:tabs>
          <w:tab w:val="left" w:pos="284"/>
          <w:tab w:val="left" w:pos="1365"/>
        </w:tabs>
        <w:spacing w:after="120" w:line="360" w:lineRule="auto"/>
        <w:jc w:val="both"/>
        <w:rPr>
          <w:rFonts w:ascii="Arial" w:eastAsia="Arial" w:hAnsi="Arial" w:cs="Arial"/>
          <w:color w:val="010000"/>
          <w:sz w:val="20"/>
          <w:szCs w:val="20"/>
        </w:rPr>
      </w:pPr>
      <w:r w:rsidRPr="00A2530A">
        <w:rPr>
          <w:rFonts w:ascii="Arial" w:hAnsi="Arial" w:cs="Arial"/>
          <w:color w:val="010000"/>
          <w:sz w:val="20"/>
        </w:rPr>
        <w:t>Time of signing the transfer contract: Within 15 days from the approval date of this resolution.</w:t>
      </w:r>
    </w:p>
    <w:p w14:paraId="0000000E" w14:textId="77777777" w:rsidR="002B6AB9" w:rsidRPr="00A2530A" w:rsidRDefault="00A2530A" w:rsidP="007C5DEB">
      <w:pPr>
        <w:numPr>
          <w:ilvl w:val="0"/>
          <w:numId w:val="1"/>
        </w:numPr>
        <w:pBdr>
          <w:top w:val="nil"/>
          <w:left w:val="nil"/>
          <w:bottom w:val="nil"/>
          <w:right w:val="nil"/>
          <w:between w:val="nil"/>
        </w:pBdr>
        <w:tabs>
          <w:tab w:val="left" w:pos="284"/>
          <w:tab w:val="left" w:pos="1345"/>
        </w:tabs>
        <w:spacing w:after="120" w:line="360" w:lineRule="auto"/>
        <w:jc w:val="both"/>
        <w:rPr>
          <w:rFonts w:ascii="Arial" w:eastAsia="Arial" w:hAnsi="Arial" w:cs="Arial"/>
          <w:color w:val="010000"/>
          <w:sz w:val="20"/>
          <w:szCs w:val="20"/>
        </w:rPr>
      </w:pPr>
      <w:r w:rsidRPr="00A2530A">
        <w:rPr>
          <w:rFonts w:ascii="Arial" w:hAnsi="Arial" w:cs="Arial"/>
          <w:color w:val="010000"/>
          <w:sz w:val="20"/>
        </w:rPr>
        <w:t>Number of shares remaining after transfer: 0 shares</w:t>
      </w:r>
    </w:p>
    <w:p w14:paraId="0000000F" w14:textId="57E58C11" w:rsidR="002B6AB9" w:rsidRPr="00A2530A" w:rsidRDefault="00A2530A" w:rsidP="007C5DEB">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A2530A">
        <w:rPr>
          <w:rFonts w:ascii="Arial" w:hAnsi="Arial" w:cs="Arial"/>
          <w:color w:val="010000"/>
          <w:sz w:val="20"/>
        </w:rPr>
        <w:t>‎‎Article 2. This</w:t>
      </w:r>
      <w:r w:rsidR="007C5DEB">
        <w:rPr>
          <w:rFonts w:ascii="Arial" w:hAnsi="Arial" w:cs="Arial"/>
          <w:color w:val="010000"/>
          <w:sz w:val="20"/>
        </w:rPr>
        <w:t xml:space="preserve"> Board</w:t>
      </w:r>
      <w:r w:rsidRPr="00A2530A">
        <w:rPr>
          <w:rFonts w:ascii="Arial" w:hAnsi="Arial" w:cs="Arial"/>
          <w:color w:val="010000"/>
          <w:sz w:val="20"/>
        </w:rPr>
        <w:t xml:space="preserve"> Resolution takes effect from the date of its signing.</w:t>
      </w:r>
    </w:p>
    <w:p w14:paraId="00000010" w14:textId="13716BE5" w:rsidR="002B6AB9" w:rsidRPr="00A2530A" w:rsidRDefault="00A2530A" w:rsidP="007C5DEB">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A2530A">
        <w:rPr>
          <w:rFonts w:ascii="Arial" w:hAnsi="Arial" w:cs="Arial"/>
          <w:color w:val="010000"/>
          <w:sz w:val="20"/>
        </w:rPr>
        <w:t xml:space="preserve">‎‎Article 3. Authorize the Chair of the Board of Directors or </w:t>
      </w:r>
      <w:r w:rsidR="007C5DEB">
        <w:rPr>
          <w:rFonts w:ascii="Arial" w:hAnsi="Arial" w:cs="Arial"/>
          <w:color w:val="010000"/>
          <w:sz w:val="20"/>
        </w:rPr>
        <w:t>Managing Director-cum-</w:t>
      </w:r>
      <w:r w:rsidRPr="00A2530A">
        <w:rPr>
          <w:rFonts w:ascii="Arial" w:hAnsi="Arial" w:cs="Arial"/>
          <w:color w:val="010000"/>
          <w:sz w:val="20"/>
        </w:rPr>
        <w:t>legal representative of QP Green Investment Joint Stock Company to sign the share transfer contract according to the content approved by the Board of Directors and assign work to relevant departments/divisions and individuals to implement other necessary procedures</w:t>
      </w:r>
      <w:r w:rsidR="007C5DEB">
        <w:rPr>
          <w:rFonts w:ascii="Arial" w:hAnsi="Arial" w:cs="Arial"/>
          <w:color w:val="010000"/>
          <w:sz w:val="20"/>
        </w:rPr>
        <w:t xml:space="preserve"> under applicable laws</w:t>
      </w:r>
      <w:r w:rsidRPr="00A2530A">
        <w:rPr>
          <w:rFonts w:ascii="Arial" w:hAnsi="Arial" w:cs="Arial"/>
          <w:color w:val="010000"/>
          <w:sz w:val="20"/>
        </w:rPr>
        <w:t>.</w:t>
      </w:r>
    </w:p>
    <w:sectPr w:rsidR="002B6AB9" w:rsidRPr="00A2530A" w:rsidSect="00A2530A">
      <w:pgSz w:w="11909" w:h="16840"/>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F0AD6"/>
    <w:multiLevelType w:val="multilevel"/>
    <w:tmpl w:val="5B4A8926"/>
    <w:lvl w:ilvl="0">
      <w:start w:val="1"/>
      <w:numFmt w:val="decimal"/>
      <w:lvlText w:val="%1."/>
      <w:lvlJc w:val="left"/>
      <w:pPr>
        <w:ind w:left="0" w:firstLine="0"/>
      </w:pPr>
      <w:rPr>
        <w:rFonts w:ascii="Arial" w:eastAsia="Arial" w:hAnsi="Arial" w:cs="Arial"/>
        <w:b w:val="0"/>
        <w:i w:val="0"/>
        <w:smallCaps w:val="0"/>
        <w:strike w:val="0"/>
        <w:color w:val="000000"/>
        <w:sz w:val="20"/>
        <w:szCs w:val="20"/>
        <w:highlight w:val="white"/>
        <w:u w:val="none"/>
        <w:vertAlign w:val="baseline"/>
      </w:rPr>
    </w:lvl>
    <w:lvl w:ilvl="1">
      <w:numFmt w:val="decimal"/>
      <w:lvlText w:val=""/>
      <w:lvlJc w:val="left"/>
      <w:pPr>
        <w:ind w:left="0" w:firstLine="0"/>
      </w:pPr>
      <w:rPr>
        <w:b w:val="0"/>
        <w:i w:val="0"/>
        <w:sz w:val="20"/>
      </w:rPr>
    </w:lvl>
    <w:lvl w:ilvl="2">
      <w:numFmt w:val="decimal"/>
      <w:lvlText w:val=""/>
      <w:lvlJc w:val="left"/>
      <w:pPr>
        <w:ind w:left="0" w:firstLine="0"/>
      </w:pPr>
      <w:rPr>
        <w:b w:val="0"/>
        <w:i w:val="0"/>
        <w:sz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AB9"/>
    <w:rsid w:val="002B6AB9"/>
    <w:rsid w:val="007C5DEB"/>
    <w:rsid w:val="00A2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67BDF"/>
  <w15:docId w15:val="{A76D2BCB-1B6C-486F-8E2C-56FFDFFC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sz w:val="28"/>
      <w:szCs w:val="28"/>
      <w:u w:val="none"/>
      <w:shd w:val="clear" w:color="auto" w:fill="auto"/>
    </w:rPr>
  </w:style>
  <w:style w:type="paragraph" w:styleId="BodyText">
    <w:name w:val="Body Text"/>
    <w:basedOn w:val="Normal"/>
    <w:link w:val="BodyTextChar"/>
    <w:qFormat/>
    <w:pPr>
      <w:spacing w:line="302" w:lineRule="auto"/>
    </w:pPr>
    <w:rPr>
      <w:rFonts w:ascii="Times New Roman" w:eastAsia="Times New Roman" w:hAnsi="Times New Roman" w:cs="Times New Roman"/>
      <w:sz w:val="22"/>
      <w:szCs w:val="22"/>
    </w:rPr>
  </w:style>
  <w:style w:type="paragraph" w:customStyle="1" w:styleId="Heading11">
    <w:name w:val="Heading #1"/>
    <w:basedOn w:val="Normal"/>
    <w:link w:val="Heading10"/>
    <w:pPr>
      <w:ind w:left="2220"/>
      <w:outlineLvl w:val="0"/>
    </w:pPr>
    <w:rPr>
      <w:rFonts w:ascii="Times New Roman" w:eastAsia="Times New Roman" w:hAnsi="Times New Roman" w:cs="Times New Roman"/>
      <w:b/>
      <w:bCs/>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rp8Mvb7OSai4I4NHckEr/cI/iQ==">CgMxLjA4AHIhMVZpRFg5ZFB5cEdIRFEtd1BqQi02dkJLM19UaFFTMWZs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2025-10-03T04:22:00Z</dcterms:created>
  <dcterms:modified xsi:type="dcterms:W3CDTF">2025-10-03T04:22:00Z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2659b755-63ed-482d-9524-0ed6ef081700</vt:lpwstr>
  </property>
</Properties>
</file>