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34314" w:rsidRPr="00084A8F" w:rsidRDefault="00084A8F" w:rsidP="00665154">
      <w:pPr>
        <w:pBdr>
          <w:top w:val="nil"/>
          <w:left w:val="nil"/>
          <w:bottom w:val="nil"/>
          <w:right w:val="nil"/>
          <w:between w:val="nil"/>
        </w:pBdr>
        <w:spacing w:after="120" w:line="360" w:lineRule="auto"/>
        <w:jc w:val="both"/>
        <w:rPr>
          <w:rFonts w:ascii="Arial" w:eastAsia="Arial" w:hAnsi="Arial" w:cs="Arial"/>
          <w:b/>
          <w:bCs/>
          <w:color w:val="010000"/>
          <w:sz w:val="20"/>
          <w:szCs w:val="20"/>
        </w:rPr>
      </w:pPr>
      <w:r w:rsidRPr="00084A8F">
        <w:rPr>
          <w:rFonts w:ascii="Arial" w:hAnsi="Arial" w:cs="Arial"/>
          <w:b/>
          <w:color w:val="010000"/>
          <w:sz w:val="20"/>
        </w:rPr>
        <w:t>TBX: Official Dispatch on canceling public company status</w:t>
      </w:r>
    </w:p>
    <w:p w14:paraId="00000002" w14:textId="5390579E" w:rsidR="00734314" w:rsidRPr="00084A8F" w:rsidRDefault="00084A8F" w:rsidP="00665154">
      <w:pPr>
        <w:pBdr>
          <w:top w:val="nil"/>
          <w:left w:val="nil"/>
          <w:bottom w:val="nil"/>
          <w:right w:val="nil"/>
          <w:between w:val="nil"/>
        </w:pBdr>
        <w:spacing w:after="120" w:line="360" w:lineRule="auto"/>
        <w:jc w:val="both"/>
        <w:rPr>
          <w:rFonts w:ascii="Arial" w:eastAsia="Arial" w:hAnsi="Arial" w:cs="Arial"/>
          <w:color w:val="010000"/>
          <w:sz w:val="20"/>
          <w:szCs w:val="20"/>
        </w:rPr>
      </w:pPr>
      <w:bookmarkStart w:id="0" w:name="_heading=h.lztr71yjbsdv"/>
      <w:bookmarkEnd w:id="0"/>
      <w:r w:rsidRPr="00084A8F">
        <w:rPr>
          <w:rFonts w:ascii="Arial" w:hAnsi="Arial" w:cs="Arial"/>
          <w:color w:val="010000"/>
          <w:sz w:val="20"/>
        </w:rPr>
        <w:t xml:space="preserve">On November 17, 2025, Thai </w:t>
      </w:r>
      <w:proofErr w:type="spellStart"/>
      <w:r w:rsidRPr="00084A8F">
        <w:rPr>
          <w:rFonts w:ascii="Arial" w:hAnsi="Arial" w:cs="Arial"/>
          <w:color w:val="010000"/>
          <w:sz w:val="20"/>
        </w:rPr>
        <w:t>Binh</w:t>
      </w:r>
      <w:proofErr w:type="spellEnd"/>
      <w:r w:rsidRPr="00084A8F">
        <w:rPr>
          <w:rFonts w:ascii="Arial" w:hAnsi="Arial" w:cs="Arial"/>
          <w:color w:val="010000"/>
          <w:sz w:val="20"/>
        </w:rPr>
        <w:t xml:space="preserve"> Cement JSC anno</w:t>
      </w:r>
      <w:r w:rsidR="00665154">
        <w:rPr>
          <w:rFonts w:ascii="Arial" w:hAnsi="Arial" w:cs="Arial"/>
          <w:color w:val="010000"/>
          <w:sz w:val="20"/>
        </w:rPr>
        <w:t>unced Official Dispatch No. 25-</w:t>
      </w:r>
      <w:r w:rsidRPr="00084A8F">
        <w:rPr>
          <w:rFonts w:ascii="Arial" w:hAnsi="Arial" w:cs="Arial"/>
          <w:color w:val="010000"/>
          <w:sz w:val="20"/>
        </w:rPr>
        <w:t>CBTT/XMTB as follows:</w:t>
      </w:r>
    </w:p>
    <w:p w14:paraId="00000003" w14:textId="2E60AD33" w:rsidR="00734314" w:rsidRPr="00084A8F" w:rsidRDefault="00084A8F" w:rsidP="00665154">
      <w:pPr>
        <w:pBdr>
          <w:top w:val="nil"/>
          <w:left w:val="nil"/>
          <w:bottom w:val="single" w:sz="6" w:space="1" w:color="000000"/>
          <w:right w:val="nil"/>
          <w:between w:val="nil"/>
        </w:pBdr>
        <w:spacing w:after="120" w:line="360" w:lineRule="auto"/>
        <w:jc w:val="both"/>
        <w:rPr>
          <w:rFonts w:ascii="Arial" w:eastAsia="Arial" w:hAnsi="Arial" w:cs="Arial"/>
          <w:color w:val="010000"/>
          <w:sz w:val="20"/>
          <w:szCs w:val="20"/>
        </w:rPr>
      </w:pPr>
      <w:r w:rsidRPr="00084A8F">
        <w:rPr>
          <w:rFonts w:ascii="Arial" w:hAnsi="Arial" w:cs="Arial"/>
          <w:color w:val="010000"/>
          <w:sz w:val="20"/>
        </w:rPr>
        <w:t xml:space="preserve">On November 14, 2025, Thai </w:t>
      </w:r>
      <w:proofErr w:type="spellStart"/>
      <w:r w:rsidRPr="00084A8F">
        <w:rPr>
          <w:rFonts w:ascii="Arial" w:hAnsi="Arial" w:cs="Arial"/>
          <w:color w:val="010000"/>
          <w:sz w:val="20"/>
        </w:rPr>
        <w:t>Binh</w:t>
      </w:r>
      <w:proofErr w:type="spellEnd"/>
      <w:r w:rsidRPr="00084A8F">
        <w:rPr>
          <w:rFonts w:ascii="Arial" w:hAnsi="Arial" w:cs="Arial"/>
          <w:color w:val="010000"/>
          <w:sz w:val="20"/>
        </w:rPr>
        <w:t xml:space="preserve"> Cement JSC received Official Dispatch No. 7344/UBCK-GSDC dated November 11, 2025 from the State Securities Commission on canceling TBX's public company status. Thai </w:t>
      </w:r>
      <w:proofErr w:type="spellStart"/>
      <w:r w:rsidRPr="00084A8F">
        <w:rPr>
          <w:rFonts w:ascii="Arial" w:hAnsi="Arial" w:cs="Arial"/>
          <w:color w:val="010000"/>
          <w:sz w:val="20"/>
        </w:rPr>
        <w:t>Binh</w:t>
      </w:r>
      <w:proofErr w:type="spellEnd"/>
      <w:r w:rsidRPr="00084A8F">
        <w:rPr>
          <w:rFonts w:ascii="Arial" w:hAnsi="Arial" w:cs="Arial"/>
          <w:color w:val="010000"/>
          <w:sz w:val="20"/>
        </w:rPr>
        <w:t xml:space="preserve"> Cement JSC announced to the State Securities Commission, Hanoi Stock Exchange, Vietnam Securities Depository and Clearing Corporation and all shareholders of the Company about the State Securities Commission's announcement of the cancellation of Thai </w:t>
      </w:r>
      <w:proofErr w:type="spellStart"/>
      <w:r w:rsidRPr="00084A8F">
        <w:rPr>
          <w:rFonts w:ascii="Arial" w:hAnsi="Arial" w:cs="Arial"/>
          <w:color w:val="010000"/>
          <w:sz w:val="20"/>
        </w:rPr>
        <w:t>Binh</w:t>
      </w:r>
      <w:proofErr w:type="spellEnd"/>
      <w:r w:rsidRPr="00084A8F">
        <w:rPr>
          <w:rFonts w:ascii="Arial" w:hAnsi="Arial" w:cs="Arial"/>
          <w:color w:val="010000"/>
          <w:sz w:val="20"/>
        </w:rPr>
        <w:t xml:space="preserve"> Cement JSC's public company status.</w:t>
      </w:r>
    </w:p>
    <w:p w14:paraId="00000004" w14:textId="532F7A01" w:rsidR="00734314" w:rsidRPr="00084A8F" w:rsidRDefault="00084A8F" w:rsidP="00665154">
      <w:pPr>
        <w:pBdr>
          <w:top w:val="nil"/>
          <w:left w:val="nil"/>
          <w:bottom w:val="nil"/>
          <w:right w:val="nil"/>
          <w:between w:val="nil"/>
        </w:pBdr>
        <w:tabs>
          <w:tab w:val="left" w:pos="5911"/>
        </w:tabs>
        <w:spacing w:after="120" w:line="360" w:lineRule="auto"/>
        <w:jc w:val="both"/>
        <w:rPr>
          <w:rFonts w:ascii="Arial" w:eastAsia="Arial" w:hAnsi="Arial" w:cs="Arial"/>
          <w:color w:val="010000"/>
          <w:sz w:val="20"/>
          <w:szCs w:val="20"/>
        </w:rPr>
      </w:pPr>
      <w:r w:rsidRPr="00084A8F">
        <w:rPr>
          <w:rFonts w:ascii="Arial" w:hAnsi="Arial" w:cs="Arial"/>
          <w:color w:val="010000"/>
          <w:sz w:val="20"/>
        </w:rPr>
        <w:t>On November 11, 2025, the State Securities Commission announced Official Dispatch No. 7344/UBCK-GSDC on canceling public company status as follows:</w:t>
      </w:r>
    </w:p>
    <w:p w14:paraId="00000005" w14:textId="3EB0B760" w:rsidR="00734314" w:rsidRPr="00084A8F" w:rsidRDefault="00084A8F" w:rsidP="00665154">
      <w:pPr>
        <w:pBdr>
          <w:top w:val="nil"/>
          <w:left w:val="nil"/>
          <w:bottom w:val="nil"/>
          <w:right w:val="nil"/>
          <w:between w:val="nil"/>
        </w:pBdr>
        <w:spacing w:after="120" w:line="360" w:lineRule="auto"/>
        <w:jc w:val="both"/>
        <w:rPr>
          <w:rFonts w:ascii="Arial" w:eastAsia="Arial" w:hAnsi="Arial" w:cs="Arial"/>
          <w:color w:val="010000"/>
          <w:sz w:val="20"/>
          <w:szCs w:val="20"/>
        </w:rPr>
      </w:pPr>
      <w:r w:rsidRPr="00084A8F">
        <w:rPr>
          <w:rFonts w:ascii="Arial" w:hAnsi="Arial" w:cs="Arial"/>
          <w:color w:val="010000"/>
          <w:sz w:val="20"/>
        </w:rPr>
        <w:t xml:space="preserve">On the proposal to cancel public company status in Official Dispatch No. 69/TBXMTB dated October 16, 2025 with the attached dossier of Thai </w:t>
      </w:r>
      <w:proofErr w:type="spellStart"/>
      <w:r w:rsidRPr="00084A8F">
        <w:rPr>
          <w:rFonts w:ascii="Arial" w:hAnsi="Arial" w:cs="Arial"/>
          <w:color w:val="010000"/>
          <w:sz w:val="20"/>
        </w:rPr>
        <w:t>Binh</w:t>
      </w:r>
      <w:proofErr w:type="spellEnd"/>
      <w:r w:rsidRPr="00084A8F">
        <w:rPr>
          <w:rFonts w:ascii="Arial" w:hAnsi="Arial" w:cs="Arial"/>
          <w:color w:val="010000"/>
          <w:sz w:val="20"/>
        </w:rPr>
        <w:t xml:space="preserve"> Cement JSC (Company/TBX), the State Securities Commission (SSC) had the following opinion:</w:t>
      </w:r>
    </w:p>
    <w:p w14:paraId="00000006" w14:textId="2438562B" w:rsidR="00734314" w:rsidRPr="00084A8F" w:rsidRDefault="00084A8F" w:rsidP="00665154">
      <w:pPr>
        <w:pBdr>
          <w:top w:val="nil"/>
          <w:left w:val="nil"/>
          <w:bottom w:val="nil"/>
          <w:right w:val="nil"/>
          <w:between w:val="nil"/>
        </w:pBdr>
        <w:spacing w:after="120" w:line="360" w:lineRule="auto"/>
        <w:jc w:val="both"/>
        <w:rPr>
          <w:rFonts w:ascii="Arial" w:eastAsia="Arial" w:hAnsi="Arial" w:cs="Arial"/>
          <w:color w:val="010000"/>
          <w:sz w:val="20"/>
          <w:szCs w:val="20"/>
        </w:rPr>
      </w:pPr>
      <w:r w:rsidRPr="00084A8F">
        <w:rPr>
          <w:rFonts w:ascii="Arial" w:hAnsi="Arial" w:cs="Arial"/>
          <w:color w:val="010000"/>
          <w:sz w:val="20"/>
        </w:rPr>
        <w:t xml:space="preserve">Pursuant to the provisions of Point d, Clause 1, Article 11 of Law No. 56/2024/QH15 dated November 29, 2024 on amending and supplementing some articles of Law on Securities, the Accounting Law, the Law on Independent Audit, the State Budget Law, the Law on Management and Use of Public Property, the Tax Administration Law, the Law on Personal Income Tax, the Law on the National Reserve, and the Law on Handling of Administrative Violations; Pursuant to </w:t>
      </w:r>
      <w:r w:rsidR="00665154">
        <w:rPr>
          <w:rFonts w:ascii="Arial" w:hAnsi="Arial" w:cs="Arial"/>
          <w:color w:val="010000"/>
          <w:sz w:val="20"/>
        </w:rPr>
        <w:t>Section 2</w:t>
      </w:r>
      <w:r w:rsidRPr="00084A8F">
        <w:rPr>
          <w:rFonts w:ascii="Arial" w:hAnsi="Arial" w:cs="Arial"/>
          <w:color w:val="010000"/>
          <w:sz w:val="20"/>
        </w:rPr>
        <w:t xml:space="preserve"> Article 13 of Circular No. 19/2025/TT-BTC dated May 5, 2025 on regulating the registration of public companies, cancellation of public company status, and audited reports on contributed charter capital, the State Securities Commission announced the cancellation of the Company's public company status.</w:t>
      </w:r>
    </w:p>
    <w:p w14:paraId="00000007" w14:textId="033B64FD" w:rsidR="00734314" w:rsidRPr="00084A8F" w:rsidRDefault="00084A8F" w:rsidP="00665154">
      <w:pPr>
        <w:pBdr>
          <w:top w:val="nil"/>
          <w:left w:val="nil"/>
          <w:bottom w:val="nil"/>
          <w:right w:val="nil"/>
          <w:between w:val="nil"/>
        </w:pBdr>
        <w:spacing w:after="120" w:line="360" w:lineRule="auto"/>
        <w:jc w:val="both"/>
        <w:rPr>
          <w:rFonts w:ascii="Arial" w:eastAsia="Arial" w:hAnsi="Arial" w:cs="Arial"/>
          <w:color w:val="010000"/>
          <w:sz w:val="20"/>
          <w:szCs w:val="20"/>
        </w:rPr>
      </w:pPr>
      <w:r w:rsidRPr="00084A8F">
        <w:rPr>
          <w:rFonts w:ascii="Arial" w:hAnsi="Arial" w:cs="Arial"/>
          <w:color w:val="010000"/>
          <w:sz w:val="20"/>
        </w:rPr>
        <w:t xml:space="preserve">Thai </w:t>
      </w:r>
      <w:proofErr w:type="spellStart"/>
      <w:r w:rsidRPr="00084A8F">
        <w:rPr>
          <w:rFonts w:ascii="Arial" w:hAnsi="Arial" w:cs="Arial"/>
          <w:color w:val="010000"/>
          <w:sz w:val="20"/>
        </w:rPr>
        <w:t>Binh</w:t>
      </w:r>
      <w:proofErr w:type="spellEnd"/>
      <w:r w:rsidRPr="00084A8F">
        <w:rPr>
          <w:rFonts w:ascii="Arial" w:hAnsi="Arial" w:cs="Arial"/>
          <w:color w:val="010000"/>
          <w:sz w:val="20"/>
        </w:rPr>
        <w:t xml:space="preserve"> Cement JSC is requested to disclose information related to the cancellation of public company status in accordance with </w:t>
      </w:r>
      <w:r w:rsidR="00AF53A7">
        <w:rPr>
          <w:rFonts w:ascii="Arial" w:hAnsi="Arial" w:cs="Arial"/>
          <w:color w:val="010000"/>
          <w:sz w:val="20"/>
        </w:rPr>
        <w:t>Section 4</w:t>
      </w:r>
      <w:bookmarkStart w:id="1" w:name="_GoBack"/>
      <w:bookmarkEnd w:id="1"/>
      <w:r w:rsidRPr="00084A8F">
        <w:rPr>
          <w:rFonts w:ascii="Arial" w:hAnsi="Arial" w:cs="Arial"/>
          <w:color w:val="010000"/>
          <w:sz w:val="20"/>
        </w:rPr>
        <w:t xml:space="preserve"> Article 38 of Law on Securities No. 54/2019/QH14. The Board of Directors and the Legal Representative of the Company are fully responsible for the information related to the cancellation of public company status.</w:t>
      </w:r>
    </w:p>
    <w:sectPr w:rsidR="00734314" w:rsidRPr="00084A8F" w:rsidSect="00084A8F">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Neue">
    <w:altName w:val="Times New Roman"/>
    <w:charset w:val="00"/>
    <w:family w:val="auto"/>
    <w:pitch w:val="default"/>
    <w:embedRegular r:id="rId1" w:fontKey="{16ACC5A4-7328-44BA-BF48-EF6FBD55082D}"/>
    <w:embedBold r:id="rId2" w:fontKey="{515D97FF-9156-4B60-A9CF-AC1986E3D13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B2B76A1C-681C-4F77-85E6-5702CEE271AA}"/>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4" w:fontKey="{70FBA94C-EA58-42DA-ADC3-A47B5DD25C42}"/>
  </w:font>
  <w:font w:name="Calibri">
    <w:panose1 w:val="020F0502020204030204"/>
    <w:charset w:val="00"/>
    <w:family w:val="swiss"/>
    <w:pitch w:val="variable"/>
    <w:sig w:usb0="E4002EFF" w:usb1="C000247B" w:usb2="00000009" w:usb3="00000000" w:csb0="000001FF" w:csb1="00000000"/>
    <w:embedRegular r:id="rId5" w:fontKey="{87A4161D-DB8C-4214-A0FE-A4469CF8381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314"/>
    <w:rsid w:val="00084A8F"/>
    <w:rsid w:val="00665154"/>
    <w:rsid w:val="00734314"/>
    <w:rsid w:val="00AF53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3CD924"/>
  <w15:docId w15:val="{9751D8BD-4D78-41B6-81F7-497506EB4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Helvetica Neue" w:eastAsia="Helvetica Neue" w:hAnsi="Helvetica Neue" w:cs="Helvetica Neue"/>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8"/>
      <w:szCs w:val="28"/>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Bodytext4">
    <w:name w:val="Body text (4)_"/>
    <w:basedOn w:val="DefaultParagraphFont"/>
    <w:link w:val="Bodytext40"/>
    <w:rPr>
      <w:rFonts w:ascii="Times New Roman" w:eastAsia="Times New Roman" w:hAnsi="Times New Roman" w:cs="Times New Roman"/>
      <w:b w:val="0"/>
      <w:bCs w:val="0"/>
      <w:i w:val="0"/>
      <w:iCs w:val="0"/>
      <w:smallCaps w:val="0"/>
      <w:strike w:val="0"/>
      <w:sz w:val="17"/>
      <w:szCs w:val="17"/>
      <w:u w:val="none"/>
      <w:shd w:val="clear" w:color="auto" w:fill="auto"/>
    </w:rPr>
  </w:style>
  <w:style w:type="character" w:customStyle="1" w:styleId="Bodytext3">
    <w:name w:val="Body text (3)_"/>
    <w:basedOn w:val="DefaultParagraphFont"/>
    <w:link w:val="Bodytext30"/>
    <w:rPr>
      <w:rFonts w:ascii="Times New Roman" w:eastAsia="Times New Roman" w:hAnsi="Times New Roman" w:cs="Times New Roman"/>
      <w:b w:val="0"/>
      <w:bCs w:val="0"/>
      <w:i w:val="0"/>
      <w:iCs w:val="0"/>
      <w:smallCaps w:val="0"/>
      <w:strike w:val="0"/>
      <w:color w:val="FF0000"/>
      <w:sz w:val="10"/>
      <w:szCs w:val="10"/>
      <w:u w:val="none"/>
      <w:shd w:val="clear" w:color="auto" w:fill="auto"/>
    </w:rPr>
  </w:style>
  <w:style w:type="paragraph" w:styleId="BodyText">
    <w:name w:val="Body Text"/>
    <w:basedOn w:val="Normal"/>
    <w:link w:val="BodyTextChar"/>
    <w:qFormat/>
    <w:pPr>
      <w:ind w:firstLine="400"/>
    </w:pPr>
    <w:rPr>
      <w:rFonts w:ascii="Times New Roman" w:eastAsia="Times New Roman" w:hAnsi="Times New Roman" w:cs="Times New Roman"/>
      <w:sz w:val="28"/>
      <w:szCs w:val="28"/>
    </w:rPr>
  </w:style>
  <w:style w:type="paragraph" w:customStyle="1" w:styleId="Bodytext20">
    <w:name w:val="Body text (2)"/>
    <w:basedOn w:val="Normal"/>
    <w:link w:val="Bodytext2"/>
    <w:pPr>
      <w:ind w:left="1760"/>
    </w:pPr>
    <w:rPr>
      <w:rFonts w:ascii="Times New Roman" w:eastAsia="Times New Roman" w:hAnsi="Times New Roman" w:cs="Times New Roman"/>
      <w:sz w:val="22"/>
      <w:szCs w:val="22"/>
    </w:rPr>
  </w:style>
  <w:style w:type="paragraph" w:customStyle="1" w:styleId="Bodytext40">
    <w:name w:val="Body text (4)"/>
    <w:basedOn w:val="Normal"/>
    <w:link w:val="Bodytext4"/>
    <w:pPr>
      <w:ind w:left="1660"/>
    </w:pPr>
    <w:rPr>
      <w:rFonts w:ascii="Times New Roman" w:eastAsia="Times New Roman" w:hAnsi="Times New Roman" w:cs="Times New Roman"/>
      <w:sz w:val="17"/>
      <w:szCs w:val="17"/>
    </w:rPr>
  </w:style>
  <w:style w:type="paragraph" w:customStyle="1" w:styleId="Bodytext30">
    <w:name w:val="Body text (3)"/>
    <w:basedOn w:val="Normal"/>
    <w:link w:val="Bodytext3"/>
    <w:rPr>
      <w:rFonts w:ascii="Times New Roman" w:eastAsia="Times New Roman" w:hAnsi="Times New Roman" w:cs="Times New Roman"/>
      <w:color w:val="FF0000"/>
      <w:sz w:val="10"/>
      <w:szCs w:val="10"/>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H/M5S95Z37lRaUjKjbLGgBU+dA==">CgMxLjAyDmgubHp0cjcxeWpic2R2OAByITFpdktEQnVTMF80R3FSZ3JDZWZEQVlPUTB1aF9TRldqZA==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2025-11-19T07:35:00Z</dcterms:created>
  <dcterms:modified xsi:type="dcterms:W3CDTF">2025-11-19T07:35:00Z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ad4253e0-9e77-41aa-a54b-62cd0356db74</vt:lpwstr>
  </property>
</Properties>
</file>