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65C" w:rsidRPr="00056890" w:rsidRDefault="00056890" w:rsidP="00B04C1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056890">
        <w:rPr>
          <w:rFonts w:ascii="Arial" w:hAnsi="Arial" w:cs="Arial"/>
          <w:b/>
          <w:color w:val="010000"/>
          <w:sz w:val="20"/>
        </w:rPr>
        <w:t>MCC: Board Resolution</w:t>
      </w:r>
    </w:p>
    <w:p w:rsidR="0019665C" w:rsidRPr="00056890" w:rsidRDefault="00056890" w:rsidP="00B04C1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56890">
        <w:rPr>
          <w:rFonts w:ascii="Arial" w:hAnsi="Arial" w:cs="Arial"/>
          <w:color w:val="010000"/>
          <w:sz w:val="20"/>
        </w:rPr>
        <w:t xml:space="preserve">On November 22, 2025, High - Grade Brick - Tile Corporation announced Resolution No. 23/04/NQ-HDQT on evaluating the implementation of Resolution No. 22/04/NQ-HDQT, approving the production and business plan for Q4/2025 as follows: </w:t>
      </w:r>
    </w:p>
    <w:p w:rsidR="0019665C" w:rsidRPr="00056890" w:rsidRDefault="00056890" w:rsidP="00B04C1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56890">
        <w:rPr>
          <w:rFonts w:ascii="Arial" w:hAnsi="Arial" w:cs="Arial"/>
          <w:color w:val="010000"/>
          <w:sz w:val="20"/>
        </w:rPr>
        <w:t>Article 1: The Board of Directors agreed to report on the assessment of the implementation of Resolution No. 22/04/NQ-HDQT; results data Q3/2025, production and business plan Q4/2025 as follows:</w:t>
      </w:r>
    </w:p>
    <w:tbl>
      <w:tblPr>
        <w:tblStyle w:val="a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37"/>
        <w:gridCol w:w="1576"/>
        <w:gridCol w:w="910"/>
        <w:gridCol w:w="1192"/>
        <w:gridCol w:w="1136"/>
        <w:gridCol w:w="1098"/>
        <w:gridCol w:w="1399"/>
        <w:gridCol w:w="1169"/>
      </w:tblGrid>
      <w:tr w:rsidR="0019665C" w:rsidRPr="00056890" w:rsidTr="00056890">
        <w:tc>
          <w:tcPr>
            <w:tcW w:w="34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91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Targets</w:t>
            </w:r>
          </w:p>
        </w:tc>
        <w:tc>
          <w:tcPr>
            <w:tcW w:w="41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Unit</w:t>
            </w:r>
          </w:p>
        </w:tc>
        <w:tc>
          <w:tcPr>
            <w:tcW w:w="70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Plan 2025</w:t>
            </w:r>
          </w:p>
        </w:tc>
        <w:tc>
          <w:tcPr>
            <w:tcW w:w="67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Results Q3/2025</w:t>
            </w:r>
          </w:p>
        </w:tc>
        <w:tc>
          <w:tcPr>
            <w:tcW w:w="6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Results of 9 months of 2025</w:t>
            </w:r>
          </w:p>
        </w:tc>
        <w:tc>
          <w:tcPr>
            <w:tcW w:w="61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Results 9 months/Results 2025</w:t>
            </w:r>
          </w:p>
        </w:tc>
        <w:tc>
          <w:tcPr>
            <w:tcW w:w="69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Plan Q4/2025</w:t>
            </w:r>
          </w:p>
        </w:tc>
      </w:tr>
      <w:tr w:rsidR="0019665C" w:rsidRPr="00056890" w:rsidTr="00056890">
        <w:tc>
          <w:tcPr>
            <w:tcW w:w="34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91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Construction brick</w:t>
            </w:r>
          </w:p>
        </w:tc>
        <w:tc>
          <w:tcPr>
            <w:tcW w:w="41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Piece</w:t>
            </w:r>
          </w:p>
        </w:tc>
        <w:tc>
          <w:tcPr>
            <w:tcW w:w="70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25,000,000</w:t>
            </w:r>
          </w:p>
        </w:tc>
        <w:tc>
          <w:tcPr>
            <w:tcW w:w="67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8,839,038</w:t>
            </w:r>
          </w:p>
        </w:tc>
        <w:tc>
          <w:tcPr>
            <w:tcW w:w="6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16,363,941</w:t>
            </w:r>
          </w:p>
        </w:tc>
        <w:tc>
          <w:tcPr>
            <w:tcW w:w="61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65%</w:t>
            </w:r>
          </w:p>
        </w:tc>
        <w:tc>
          <w:tcPr>
            <w:tcW w:w="69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8,000,000</w:t>
            </w:r>
          </w:p>
        </w:tc>
      </w:tr>
      <w:tr w:rsidR="0019665C" w:rsidRPr="00056890" w:rsidTr="00056890">
        <w:tc>
          <w:tcPr>
            <w:tcW w:w="34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91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Clay</w:t>
            </w:r>
          </w:p>
        </w:tc>
        <w:tc>
          <w:tcPr>
            <w:tcW w:w="41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M3</w:t>
            </w:r>
          </w:p>
        </w:tc>
        <w:tc>
          <w:tcPr>
            <w:tcW w:w="70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120,000</w:t>
            </w:r>
          </w:p>
        </w:tc>
        <w:tc>
          <w:tcPr>
            <w:tcW w:w="67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21,416</w:t>
            </w:r>
          </w:p>
        </w:tc>
        <w:tc>
          <w:tcPr>
            <w:tcW w:w="6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113,990</w:t>
            </w:r>
          </w:p>
        </w:tc>
        <w:tc>
          <w:tcPr>
            <w:tcW w:w="61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95%</w:t>
            </w:r>
          </w:p>
        </w:tc>
        <w:tc>
          <w:tcPr>
            <w:tcW w:w="69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15,000</w:t>
            </w:r>
          </w:p>
        </w:tc>
      </w:tr>
      <w:tr w:rsidR="0019665C" w:rsidRPr="00056890" w:rsidTr="00056890">
        <w:tc>
          <w:tcPr>
            <w:tcW w:w="34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91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Revenue</w:t>
            </w:r>
          </w:p>
        </w:tc>
        <w:tc>
          <w:tcPr>
            <w:tcW w:w="41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Thousand VND</w:t>
            </w:r>
          </w:p>
        </w:tc>
        <w:tc>
          <w:tcPr>
            <w:tcW w:w="70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33772697</w:t>
            </w:r>
          </w:p>
        </w:tc>
        <w:tc>
          <w:tcPr>
            <w:tcW w:w="67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12,240,975</w:t>
            </w:r>
          </w:p>
        </w:tc>
        <w:tc>
          <w:tcPr>
            <w:tcW w:w="6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29,172,426</w:t>
            </w:r>
          </w:p>
        </w:tc>
        <w:tc>
          <w:tcPr>
            <w:tcW w:w="61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86%</w:t>
            </w:r>
          </w:p>
        </w:tc>
        <w:tc>
          <w:tcPr>
            <w:tcW w:w="69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8,500,000</w:t>
            </w:r>
          </w:p>
        </w:tc>
      </w:tr>
      <w:tr w:rsidR="0019665C" w:rsidRPr="00056890" w:rsidTr="00056890">
        <w:tc>
          <w:tcPr>
            <w:tcW w:w="34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5</w:t>
            </w:r>
          </w:p>
        </w:tc>
        <w:tc>
          <w:tcPr>
            <w:tcW w:w="91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Profit before tax</w:t>
            </w:r>
          </w:p>
        </w:tc>
        <w:tc>
          <w:tcPr>
            <w:tcW w:w="41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Thousand VND</w:t>
            </w:r>
          </w:p>
        </w:tc>
        <w:tc>
          <w:tcPr>
            <w:tcW w:w="70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3,719,595</w:t>
            </w:r>
          </w:p>
        </w:tc>
        <w:tc>
          <w:tcPr>
            <w:tcW w:w="67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481,204</w:t>
            </w:r>
          </w:p>
        </w:tc>
        <w:tc>
          <w:tcPr>
            <w:tcW w:w="65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3,596,047</w:t>
            </w:r>
          </w:p>
        </w:tc>
        <w:tc>
          <w:tcPr>
            <w:tcW w:w="61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97%</w:t>
            </w:r>
          </w:p>
        </w:tc>
        <w:tc>
          <w:tcPr>
            <w:tcW w:w="69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19665C" w:rsidRPr="00056890" w:rsidRDefault="00056890" w:rsidP="000568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056890">
              <w:rPr>
                <w:rFonts w:ascii="Arial" w:hAnsi="Arial" w:cs="Arial"/>
                <w:color w:val="010000"/>
                <w:sz w:val="20"/>
              </w:rPr>
              <w:t>300,000</w:t>
            </w:r>
          </w:p>
        </w:tc>
      </w:tr>
    </w:tbl>
    <w:p w:rsidR="0019665C" w:rsidRPr="00056890" w:rsidRDefault="00056890" w:rsidP="0005689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56890">
        <w:rPr>
          <w:rFonts w:ascii="Arial" w:hAnsi="Arial" w:cs="Arial"/>
          <w:color w:val="010000"/>
          <w:sz w:val="20"/>
        </w:rPr>
        <w:t>Article 2: Some main operational orientations in 43/2025</w:t>
      </w:r>
    </w:p>
    <w:p w:rsidR="0019665C" w:rsidRPr="00056890" w:rsidRDefault="00056890" w:rsidP="000568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4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56890">
        <w:rPr>
          <w:rFonts w:ascii="Arial" w:hAnsi="Arial" w:cs="Arial"/>
          <w:color w:val="010000"/>
          <w:sz w:val="20"/>
        </w:rPr>
        <w:t>Continue to focus on debt collection, especially for customers with long-term debts.</w:t>
      </w:r>
    </w:p>
    <w:p w:rsidR="0019665C" w:rsidRPr="00056890" w:rsidRDefault="00056890" w:rsidP="00B04C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7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56890">
        <w:rPr>
          <w:rFonts w:ascii="Arial" w:hAnsi="Arial" w:cs="Arial"/>
          <w:color w:val="010000"/>
          <w:sz w:val="20"/>
        </w:rPr>
        <w:t>Recruit more workers to increase brick production capacity to reduce product costs.</w:t>
      </w:r>
    </w:p>
    <w:p w:rsidR="0019665C" w:rsidRPr="00056890" w:rsidRDefault="00056890" w:rsidP="00B04C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7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56890">
        <w:rPr>
          <w:rFonts w:ascii="Arial" w:hAnsi="Arial" w:cs="Arial"/>
          <w:color w:val="010000"/>
          <w:sz w:val="20"/>
        </w:rPr>
        <w:t xml:space="preserve">Continue to contact departments and branches to complete the application for land lease at Dong </w:t>
      </w:r>
      <w:proofErr w:type="spellStart"/>
      <w:r w:rsidRPr="00056890">
        <w:rPr>
          <w:rFonts w:ascii="Arial" w:hAnsi="Arial" w:cs="Arial"/>
          <w:color w:val="010000"/>
          <w:sz w:val="20"/>
        </w:rPr>
        <w:t>Chinh</w:t>
      </w:r>
      <w:proofErr w:type="spellEnd"/>
      <w:r w:rsidRPr="00056890">
        <w:rPr>
          <w:rFonts w:ascii="Arial" w:hAnsi="Arial" w:cs="Arial"/>
          <w:color w:val="010000"/>
          <w:sz w:val="20"/>
        </w:rPr>
        <w:t xml:space="preserve"> clay mine phase 2.</w:t>
      </w:r>
    </w:p>
    <w:p w:rsidR="0019665C" w:rsidRPr="00056890" w:rsidRDefault="00056890" w:rsidP="00B04C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7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56890">
        <w:rPr>
          <w:rFonts w:ascii="Arial" w:hAnsi="Arial" w:cs="Arial"/>
          <w:color w:val="010000"/>
          <w:sz w:val="20"/>
        </w:rPr>
        <w:t>Compile and finalize the cost statistics and se</w:t>
      </w:r>
      <w:bookmarkStart w:id="0" w:name="_GoBack"/>
      <w:bookmarkEnd w:id="0"/>
      <w:r w:rsidRPr="00056890">
        <w:rPr>
          <w:rFonts w:ascii="Arial" w:hAnsi="Arial" w:cs="Arial"/>
          <w:color w:val="010000"/>
          <w:sz w:val="20"/>
        </w:rPr>
        <w:t>ttlements 2025 as a basis for preparing the production and business plan and technical-economic norms in 2026.</w:t>
      </w:r>
    </w:p>
    <w:p w:rsidR="0019665C" w:rsidRPr="00056890" w:rsidRDefault="00056890" w:rsidP="00B04C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7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atlablx9yeyj"/>
      <w:bookmarkEnd w:id="1"/>
      <w:r w:rsidRPr="00056890">
        <w:rPr>
          <w:rFonts w:ascii="Arial" w:hAnsi="Arial" w:cs="Arial"/>
          <w:color w:val="010000"/>
          <w:sz w:val="20"/>
        </w:rPr>
        <w:t>Review and renew contracts with distributors, agents, and suppliers for 2026.</w:t>
      </w:r>
    </w:p>
    <w:p w:rsidR="0019665C" w:rsidRPr="00056890" w:rsidRDefault="00056890" w:rsidP="00B04C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7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56890">
        <w:rPr>
          <w:rFonts w:ascii="Arial" w:hAnsi="Arial" w:cs="Arial"/>
          <w:color w:val="010000"/>
          <w:sz w:val="20"/>
        </w:rPr>
        <w:t>Successfully implement year-end tasks such as the employee conference, emulation and commendation activities, and inventory checks.</w:t>
      </w:r>
    </w:p>
    <w:p w:rsidR="0019665C" w:rsidRPr="00056890" w:rsidRDefault="00056890" w:rsidP="00B04C1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056890">
        <w:rPr>
          <w:rFonts w:ascii="Arial" w:hAnsi="Arial" w:cs="Arial"/>
          <w:color w:val="010000"/>
          <w:sz w:val="20"/>
        </w:rPr>
        <w:t>Article 3: This Resolution was approved by the Board of Directors and takes effect from the date of its signing. The Board of Directors, Management - Executive Board and related subjects implement the Resolution based on the Resolution.</w:t>
      </w:r>
    </w:p>
    <w:sectPr w:rsidR="0019665C" w:rsidRPr="00056890" w:rsidSect="00056890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CB046FBA-7BF6-433C-B0CC-1C7654B83B57}"/>
    <w:embedBold r:id="rId2" w:fontKey="{7D088F00-2B95-43B8-9305-39C8707E112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024F95C4-10CC-4070-A6BE-90503B87D1E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0C531583-C72B-4016-872B-2796E098287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8AB04E5D-BC99-4DBD-AA5A-65DBC3214E5F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A22A1"/>
    <w:multiLevelType w:val="multilevel"/>
    <w:tmpl w:val="7DDAB390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65C"/>
    <w:rsid w:val="00056890"/>
    <w:rsid w:val="0019665C"/>
    <w:rsid w:val="00B0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53C57C7-2436-477E-B78B-33DEF6F55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C3841"/>
      <w:sz w:val="26"/>
      <w:szCs w:val="26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C3841"/>
      <w:sz w:val="30"/>
      <w:szCs w:val="3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C3841"/>
      <w:sz w:val="26"/>
      <w:szCs w:val="26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rPr>
      <w:rFonts w:ascii="Times New Roman" w:eastAsia="Times New Roman" w:hAnsi="Times New Roman" w:cs="Times New Roman"/>
      <w:color w:val="3C3841"/>
      <w:sz w:val="26"/>
      <w:szCs w:val="26"/>
    </w:rPr>
  </w:style>
  <w:style w:type="paragraph" w:customStyle="1" w:styleId="Bodytext20">
    <w:name w:val="Body text (2)"/>
    <w:basedOn w:val="Normal"/>
    <w:link w:val="Bodytext2"/>
    <w:pPr>
      <w:ind w:firstLine="5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Normal"/>
    <w:link w:val="Bodytext3"/>
    <w:pPr>
      <w:spacing w:line="216" w:lineRule="auto"/>
      <w:jc w:val="center"/>
    </w:pPr>
    <w:rPr>
      <w:rFonts w:ascii="Times New Roman" w:eastAsia="Times New Roman" w:hAnsi="Times New Roman" w:cs="Times New Roman"/>
      <w:b/>
      <w:bCs/>
      <w:color w:val="3C3841"/>
      <w:sz w:val="30"/>
      <w:szCs w:val="30"/>
    </w:rPr>
  </w:style>
  <w:style w:type="paragraph" w:customStyle="1" w:styleId="Other0">
    <w:name w:val="Other"/>
    <w:basedOn w:val="Normal"/>
    <w:link w:val="Other"/>
    <w:rPr>
      <w:rFonts w:ascii="Times New Roman" w:eastAsia="Times New Roman" w:hAnsi="Times New Roman" w:cs="Times New Roman"/>
      <w:color w:val="3C3841"/>
      <w:sz w:val="26"/>
      <w:szCs w:val="2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RYPGuDmuOmPmrL/HifnJL1eZHA==">CgMxLjAyDmguYXRsYWJseDl5ZXlqOAByITFLTzJCNmNKYWxYTDNUSVJJWHFoWUFqcWVNamEyQm9XdA==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1515</Characters>
  <Application>Microsoft Office Word</Application>
  <DocSecurity>0</DocSecurity>
  <Lines>12</Lines>
  <Paragraphs>3</Paragraphs>
  <ScaleCrop>false</ScaleCrop>
  <Company>Microsoft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Hoang Phuong Thao</cp:lastModifiedBy>
  <cp:revision>3</cp:revision>
  <dcterms:created xsi:type="dcterms:W3CDTF">2025-11-25T04:25:00Z</dcterms:created>
  <dcterms:modified xsi:type="dcterms:W3CDTF">2025-11-26T07:40:00Z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5eb43240-fa20-4b3f-aac1-2b71860c24df</vt:lpwstr>
  </property>
</Properties>
</file>