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4428" w:rsidRPr="004070FC" w:rsidRDefault="004070FC" w:rsidP="004070FC">
      <w:pPr>
        <w:pBdr>
          <w:top w:val="nil"/>
          <w:left w:val="nil"/>
          <w:bottom w:val="nil"/>
          <w:right w:val="nil"/>
          <w:between w:val="nil"/>
        </w:pBdr>
        <w:spacing w:after="120" w:line="360" w:lineRule="auto"/>
        <w:rPr>
          <w:rFonts w:ascii="Arial" w:eastAsia="Arial" w:hAnsi="Arial" w:cs="Arial"/>
          <w:b/>
          <w:bCs/>
          <w:color w:val="010000"/>
          <w:sz w:val="20"/>
          <w:szCs w:val="20"/>
        </w:rPr>
      </w:pPr>
      <w:bookmarkStart w:id="0" w:name="_GoBack"/>
      <w:bookmarkEnd w:id="0"/>
      <w:r w:rsidRPr="004070FC">
        <w:rPr>
          <w:rFonts w:ascii="Arial" w:hAnsi="Arial" w:cs="Arial"/>
          <w:b/>
          <w:color w:val="010000"/>
          <w:sz w:val="20"/>
        </w:rPr>
        <w:t>ONW: Extraordinary General Mandate 2025</w:t>
      </w:r>
    </w:p>
    <w:p w:rsidR="00044428" w:rsidRPr="004070FC" w:rsidRDefault="004070FC" w:rsidP="004070FC">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On November 25, 2025, One World Services Joint Stock Company announced General Mandate No. 03.2025/NQ-DHDCD/ONW as follows:</w:t>
      </w:r>
    </w:p>
    <w:p w:rsidR="00044428" w:rsidRPr="004070FC" w:rsidRDefault="004070FC" w:rsidP="004070FC">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Article 1: Approve Proposal No. 07.2025/TT/DHDCD/ONW on the Report on the implementation of borrowing and use of borrowed money.</w:t>
      </w:r>
    </w:p>
    <w:p w:rsidR="00044428" w:rsidRPr="004070FC" w:rsidRDefault="004070FC" w:rsidP="004070FC">
      <w:pPr>
        <w:pBdr>
          <w:top w:val="nil"/>
          <w:left w:val="nil"/>
          <w:bottom w:val="nil"/>
          <w:right w:val="nil"/>
          <w:between w:val="nil"/>
        </w:pBdr>
        <w:spacing w:after="120" w:line="360" w:lineRule="auto"/>
        <w:rPr>
          <w:rFonts w:ascii="Arial" w:hAnsi="Arial" w:cs="Arial"/>
          <w:color w:val="010000"/>
          <w:sz w:val="20"/>
        </w:rPr>
      </w:pPr>
      <w:r w:rsidRPr="004070FC">
        <w:rPr>
          <w:rFonts w:ascii="Arial" w:hAnsi="Arial" w:cs="Arial"/>
          <w:color w:val="010000"/>
          <w:sz w:val="20"/>
        </w:rPr>
        <w:t>Article 2. Approve Proposal No. 08.2025/TT/DHDCD/ONW on approving the adjustment of the Plan on the private placement.</w:t>
      </w:r>
    </w:p>
    <w:p w:rsidR="004070FC" w:rsidRPr="004070FC" w:rsidRDefault="004070FC" w:rsidP="004070FC">
      <w:pPr>
        <w:keepNext/>
        <w:numPr>
          <w:ilvl w:val="0"/>
          <w:numId w:val="2"/>
        </w:numPr>
        <w:pBdr>
          <w:top w:val="nil"/>
          <w:left w:val="nil"/>
          <w:bottom w:val="nil"/>
          <w:right w:val="nil"/>
          <w:between w:val="nil"/>
        </w:pBdr>
        <w:tabs>
          <w:tab w:val="left" w:pos="363"/>
        </w:tabs>
        <w:spacing w:after="120" w:line="360" w:lineRule="auto"/>
        <w:rPr>
          <w:rFonts w:ascii="Arial" w:eastAsia="Arial" w:hAnsi="Arial" w:cs="Arial"/>
          <w:color w:val="010000"/>
          <w:sz w:val="20"/>
          <w:szCs w:val="20"/>
        </w:rPr>
      </w:pPr>
      <w:r w:rsidRPr="004070FC">
        <w:rPr>
          <w:rFonts w:ascii="Arial" w:hAnsi="Arial" w:cs="Arial"/>
          <w:color w:val="010000"/>
          <w:sz w:val="20"/>
        </w:rPr>
        <w:t>Plan on the private placement to increase charter capital and Plan on using the proceeds from the issuance</w:t>
      </w:r>
    </w:p>
    <w:p w:rsidR="004070FC" w:rsidRPr="004070FC" w:rsidRDefault="004070FC" w:rsidP="004070FC">
      <w:pPr>
        <w:keepNext/>
        <w:numPr>
          <w:ilvl w:val="1"/>
          <w:numId w:val="2"/>
        </w:numPr>
        <w:pBdr>
          <w:top w:val="nil"/>
          <w:left w:val="nil"/>
          <w:bottom w:val="nil"/>
          <w:right w:val="nil"/>
          <w:between w:val="nil"/>
        </w:pBdr>
        <w:tabs>
          <w:tab w:val="left" w:pos="541"/>
        </w:tabs>
        <w:spacing w:after="120" w:line="360" w:lineRule="auto"/>
        <w:rPr>
          <w:rFonts w:ascii="Arial" w:eastAsia="Arial" w:hAnsi="Arial" w:cs="Arial"/>
          <w:color w:val="010000"/>
          <w:sz w:val="20"/>
          <w:szCs w:val="20"/>
        </w:rPr>
      </w:pPr>
      <w:r w:rsidRPr="004070FC">
        <w:rPr>
          <w:rFonts w:ascii="Arial" w:hAnsi="Arial" w:cs="Arial"/>
          <w:color w:val="010000"/>
          <w:sz w:val="20"/>
        </w:rPr>
        <w:t>Purpose of the offering:</w:t>
      </w:r>
    </w:p>
    <w:p w:rsidR="004070FC" w:rsidRPr="004070FC" w:rsidRDefault="004070FC" w:rsidP="004070FC">
      <w:pPr>
        <w:pBdr>
          <w:top w:val="nil"/>
          <w:left w:val="nil"/>
          <w:bottom w:val="nil"/>
          <w:right w:val="nil"/>
          <w:between w:val="nil"/>
        </w:pBdr>
        <w:spacing w:after="120" w:line="360" w:lineRule="auto"/>
        <w:rPr>
          <w:rFonts w:ascii="Arial" w:eastAsia="Arial" w:hAnsi="Arial" w:cs="Arial"/>
          <w:color w:val="010000"/>
          <w:sz w:val="20"/>
          <w:szCs w:val="20"/>
        </w:rPr>
      </w:pPr>
      <w:proofErr w:type="spellStart"/>
      <w:r w:rsidRPr="004070FC">
        <w:rPr>
          <w:rFonts w:ascii="Arial" w:hAnsi="Arial" w:cs="Arial"/>
          <w:color w:val="010000"/>
          <w:sz w:val="20"/>
        </w:rPr>
        <w:t>Moblize</w:t>
      </w:r>
      <w:proofErr w:type="spellEnd"/>
      <w:r w:rsidRPr="004070FC">
        <w:rPr>
          <w:rFonts w:ascii="Arial" w:hAnsi="Arial" w:cs="Arial"/>
          <w:color w:val="010000"/>
          <w:sz w:val="20"/>
        </w:rPr>
        <w:t xml:space="preserve"> capital to repay the loan of VND35</w:t>
      </w:r>
      <w:proofErr w:type="gramStart"/>
      <w:r w:rsidRPr="004070FC">
        <w:rPr>
          <w:rFonts w:ascii="Arial" w:hAnsi="Arial" w:cs="Arial"/>
          <w:color w:val="010000"/>
          <w:sz w:val="20"/>
        </w:rPr>
        <w:t>,000,000,000</w:t>
      </w:r>
      <w:proofErr w:type="gramEnd"/>
      <w:r w:rsidRPr="004070FC">
        <w:rPr>
          <w:rFonts w:ascii="Arial" w:hAnsi="Arial" w:cs="Arial"/>
          <w:color w:val="010000"/>
          <w:sz w:val="20"/>
        </w:rPr>
        <w:t xml:space="preserve"> of Vietnam Three Regions </w:t>
      </w:r>
      <w:proofErr w:type="spellStart"/>
      <w:r w:rsidRPr="004070FC">
        <w:rPr>
          <w:rFonts w:ascii="Arial" w:hAnsi="Arial" w:cs="Arial"/>
          <w:color w:val="010000"/>
          <w:sz w:val="20"/>
        </w:rPr>
        <w:t>Specialities</w:t>
      </w:r>
      <w:proofErr w:type="spellEnd"/>
      <w:r w:rsidRPr="004070FC">
        <w:rPr>
          <w:rFonts w:ascii="Arial" w:hAnsi="Arial" w:cs="Arial"/>
          <w:color w:val="010000"/>
          <w:sz w:val="20"/>
        </w:rPr>
        <w:t xml:space="preserve"> Joint Stock Company.</w:t>
      </w:r>
    </w:p>
    <w:p w:rsidR="004070FC" w:rsidRPr="004070FC" w:rsidRDefault="004070FC" w:rsidP="004070FC">
      <w:pPr>
        <w:keepNext/>
        <w:numPr>
          <w:ilvl w:val="1"/>
          <w:numId w:val="2"/>
        </w:numPr>
        <w:pBdr>
          <w:top w:val="nil"/>
          <w:left w:val="nil"/>
          <w:bottom w:val="nil"/>
          <w:right w:val="nil"/>
          <w:between w:val="nil"/>
        </w:pBdr>
        <w:tabs>
          <w:tab w:val="left" w:pos="546"/>
        </w:tabs>
        <w:spacing w:after="120" w:line="360" w:lineRule="auto"/>
        <w:rPr>
          <w:rFonts w:ascii="Arial" w:eastAsia="Arial" w:hAnsi="Arial" w:cs="Arial"/>
          <w:color w:val="010000"/>
          <w:sz w:val="20"/>
          <w:szCs w:val="20"/>
        </w:rPr>
      </w:pPr>
      <w:r w:rsidRPr="004070FC">
        <w:rPr>
          <w:rFonts w:ascii="Arial" w:hAnsi="Arial" w:cs="Arial"/>
          <w:color w:val="010000"/>
          <w:sz w:val="20"/>
        </w:rPr>
        <w:t>Plan of the offering:</w:t>
      </w:r>
    </w:p>
    <w:p w:rsidR="004070FC" w:rsidRPr="004070FC" w:rsidRDefault="004070FC" w:rsidP="004070FC">
      <w:pPr>
        <w:numPr>
          <w:ilvl w:val="0"/>
          <w:numId w:val="3"/>
        </w:numPr>
        <w:pBdr>
          <w:top w:val="nil"/>
          <w:left w:val="nil"/>
          <w:bottom w:val="nil"/>
          <w:right w:val="nil"/>
          <w:between w:val="nil"/>
        </w:pBdr>
        <w:tabs>
          <w:tab w:val="left" w:pos="330"/>
        </w:tabs>
        <w:spacing w:after="120" w:line="360" w:lineRule="auto"/>
        <w:rPr>
          <w:rFonts w:ascii="Arial" w:eastAsia="Arial" w:hAnsi="Arial" w:cs="Arial"/>
          <w:color w:val="010000"/>
          <w:sz w:val="20"/>
          <w:szCs w:val="20"/>
        </w:rPr>
      </w:pPr>
      <w:r w:rsidRPr="004070FC">
        <w:rPr>
          <w:rFonts w:ascii="Arial" w:hAnsi="Arial" w:cs="Arial"/>
          <w:color w:val="010000"/>
          <w:sz w:val="20"/>
        </w:rPr>
        <w:t>Issuer: One World Services Joint Stock Company</w:t>
      </w:r>
    </w:p>
    <w:p w:rsidR="004070FC" w:rsidRPr="004070FC" w:rsidRDefault="004070FC" w:rsidP="004070FC">
      <w:pPr>
        <w:numPr>
          <w:ilvl w:val="0"/>
          <w:numId w:val="3"/>
        </w:numPr>
        <w:pBdr>
          <w:top w:val="nil"/>
          <w:left w:val="nil"/>
          <w:bottom w:val="nil"/>
          <w:right w:val="nil"/>
          <w:between w:val="nil"/>
        </w:pBdr>
        <w:tabs>
          <w:tab w:val="left" w:pos="358"/>
        </w:tabs>
        <w:spacing w:after="120" w:line="360" w:lineRule="auto"/>
        <w:rPr>
          <w:rFonts w:ascii="Arial" w:eastAsia="Arial" w:hAnsi="Arial" w:cs="Arial"/>
          <w:color w:val="010000"/>
          <w:sz w:val="20"/>
          <w:szCs w:val="20"/>
        </w:rPr>
      </w:pPr>
      <w:r w:rsidRPr="004070FC">
        <w:rPr>
          <w:rFonts w:ascii="Arial" w:hAnsi="Arial" w:cs="Arial"/>
          <w:color w:val="010000"/>
          <w:sz w:val="20"/>
        </w:rPr>
        <w:t>Type of shares: Common shares</w:t>
      </w:r>
    </w:p>
    <w:p w:rsidR="004070FC" w:rsidRPr="004070FC" w:rsidRDefault="004070FC" w:rsidP="004070FC">
      <w:pPr>
        <w:numPr>
          <w:ilvl w:val="0"/>
          <w:numId w:val="3"/>
        </w:numPr>
        <w:pBdr>
          <w:top w:val="nil"/>
          <w:left w:val="nil"/>
          <w:bottom w:val="nil"/>
          <w:right w:val="nil"/>
          <w:between w:val="nil"/>
        </w:pBdr>
        <w:tabs>
          <w:tab w:val="left" w:pos="358"/>
          <w:tab w:val="left" w:pos="9490"/>
        </w:tabs>
        <w:spacing w:after="120" w:line="360" w:lineRule="auto"/>
        <w:rPr>
          <w:rFonts w:ascii="Arial" w:eastAsia="Arial" w:hAnsi="Arial" w:cs="Arial"/>
          <w:color w:val="010000"/>
          <w:sz w:val="20"/>
          <w:szCs w:val="20"/>
        </w:rPr>
      </w:pPr>
      <w:r w:rsidRPr="004070FC">
        <w:rPr>
          <w:rFonts w:ascii="Arial" w:hAnsi="Arial" w:cs="Arial"/>
          <w:color w:val="010000"/>
          <w:sz w:val="20"/>
        </w:rPr>
        <w:t xml:space="preserve">Par value: VND10,000/share; </w:t>
      </w:r>
    </w:p>
    <w:p w:rsidR="004070FC" w:rsidRPr="004070FC" w:rsidRDefault="004070FC" w:rsidP="004070FC">
      <w:pPr>
        <w:numPr>
          <w:ilvl w:val="0"/>
          <w:numId w:val="3"/>
        </w:numPr>
        <w:pBdr>
          <w:top w:val="nil"/>
          <w:left w:val="nil"/>
          <w:bottom w:val="nil"/>
          <w:right w:val="nil"/>
          <w:between w:val="nil"/>
        </w:pBdr>
        <w:tabs>
          <w:tab w:val="left" w:pos="358"/>
          <w:tab w:val="left" w:pos="9490"/>
        </w:tabs>
        <w:spacing w:after="120" w:line="360" w:lineRule="auto"/>
        <w:rPr>
          <w:rFonts w:ascii="Arial" w:eastAsia="Arial" w:hAnsi="Arial" w:cs="Arial"/>
          <w:color w:val="010000"/>
          <w:sz w:val="20"/>
          <w:szCs w:val="20"/>
        </w:rPr>
      </w:pPr>
      <w:r w:rsidRPr="004070FC">
        <w:rPr>
          <w:rFonts w:ascii="Arial" w:hAnsi="Arial" w:cs="Arial"/>
          <w:color w:val="010000"/>
          <w:sz w:val="20"/>
        </w:rPr>
        <w:t xml:space="preserve">Charter capital before the offering: VND20,000,000,000 </w:t>
      </w:r>
    </w:p>
    <w:p w:rsidR="004070FC" w:rsidRPr="004070FC" w:rsidRDefault="004070FC" w:rsidP="004070FC">
      <w:pPr>
        <w:keepNext/>
        <w:numPr>
          <w:ilvl w:val="0"/>
          <w:numId w:val="3"/>
        </w:numPr>
        <w:pBdr>
          <w:top w:val="nil"/>
          <w:left w:val="nil"/>
          <w:bottom w:val="nil"/>
          <w:right w:val="nil"/>
          <w:between w:val="nil"/>
        </w:pBdr>
        <w:tabs>
          <w:tab w:val="left" w:pos="363"/>
        </w:tabs>
        <w:spacing w:after="120" w:line="360" w:lineRule="auto"/>
        <w:rPr>
          <w:rFonts w:ascii="Arial" w:eastAsia="Arial" w:hAnsi="Arial" w:cs="Arial"/>
          <w:color w:val="010000"/>
          <w:sz w:val="20"/>
          <w:szCs w:val="20"/>
        </w:rPr>
      </w:pPr>
      <w:r w:rsidRPr="004070FC">
        <w:rPr>
          <w:rFonts w:ascii="Arial" w:hAnsi="Arial" w:cs="Arial"/>
          <w:color w:val="010000"/>
          <w:sz w:val="20"/>
        </w:rPr>
        <w:t xml:space="preserve">Number of shares and expected value of shares offered: 3,500,000 shares, equivalent to VND35,000,000,000 </w:t>
      </w:r>
    </w:p>
    <w:p w:rsidR="004070FC" w:rsidRPr="004070FC" w:rsidRDefault="004070FC" w:rsidP="004070FC">
      <w:pPr>
        <w:keepNext/>
        <w:numPr>
          <w:ilvl w:val="0"/>
          <w:numId w:val="3"/>
        </w:numPr>
        <w:pBdr>
          <w:top w:val="nil"/>
          <w:left w:val="nil"/>
          <w:bottom w:val="nil"/>
          <w:right w:val="nil"/>
          <w:between w:val="nil"/>
        </w:pBdr>
        <w:tabs>
          <w:tab w:val="left" w:pos="358"/>
        </w:tabs>
        <w:spacing w:after="120" w:line="360" w:lineRule="auto"/>
        <w:rPr>
          <w:rFonts w:ascii="Arial" w:eastAsia="Arial" w:hAnsi="Arial" w:cs="Arial"/>
          <w:color w:val="010000"/>
          <w:sz w:val="20"/>
          <w:szCs w:val="20"/>
        </w:rPr>
      </w:pPr>
      <w:r w:rsidRPr="004070FC">
        <w:rPr>
          <w:rFonts w:ascii="Arial" w:hAnsi="Arial" w:cs="Arial"/>
          <w:color w:val="010000"/>
          <w:sz w:val="20"/>
        </w:rPr>
        <w:t xml:space="preserve">Expected charter capital after the offering: VND55,000,000,000 </w:t>
      </w:r>
    </w:p>
    <w:p w:rsidR="004070FC" w:rsidRPr="004070FC" w:rsidRDefault="004070FC" w:rsidP="004070FC">
      <w:pPr>
        <w:numPr>
          <w:ilvl w:val="0"/>
          <w:numId w:val="3"/>
        </w:numPr>
        <w:pBdr>
          <w:top w:val="nil"/>
          <w:left w:val="nil"/>
          <w:bottom w:val="nil"/>
          <w:right w:val="nil"/>
          <w:between w:val="nil"/>
        </w:pBdr>
        <w:tabs>
          <w:tab w:val="left" w:pos="358"/>
        </w:tabs>
        <w:spacing w:after="120" w:line="360" w:lineRule="auto"/>
        <w:rPr>
          <w:rFonts w:ascii="Arial" w:eastAsia="Arial" w:hAnsi="Arial" w:cs="Arial"/>
          <w:color w:val="010000"/>
          <w:sz w:val="20"/>
          <w:szCs w:val="20"/>
        </w:rPr>
      </w:pPr>
      <w:r w:rsidRPr="004070FC">
        <w:rPr>
          <w:rFonts w:ascii="Arial" w:hAnsi="Arial" w:cs="Arial"/>
          <w:color w:val="010000"/>
          <w:sz w:val="20"/>
        </w:rPr>
        <w:t>Rate of additional shares offered/total number of outstanding shares:</w:t>
      </w:r>
    </w:p>
    <w:p w:rsidR="004070FC" w:rsidRPr="004070FC" w:rsidRDefault="004070FC" w:rsidP="004070FC">
      <w:pPr>
        <w:numPr>
          <w:ilvl w:val="0"/>
          <w:numId w:val="1"/>
        </w:numPr>
        <w:pBdr>
          <w:top w:val="nil"/>
          <w:left w:val="nil"/>
          <w:bottom w:val="nil"/>
          <w:right w:val="nil"/>
          <w:between w:val="nil"/>
        </w:pBdr>
        <w:tabs>
          <w:tab w:val="left" w:pos="262"/>
        </w:tabs>
        <w:spacing w:after="120" w:line="360" w:lineRule="auto"/>
        <w:rPr>
          <w:rFonts w:ascii="Arial" w:eastAsia="Arial" w:hAnsi="Arial" w:cs="Arial"/>
          <w:color w:val="010000"/>
          <w:sz w:val="20"/>
          <w:szCs w:val="20"/>
        </w:rPr>
      </w:pPr>
      <w:r w:rsidRPr="004070FC">
        <w:rPr>
          <w:rFonts w:ascii="Arial" w:hAnsi="Arial" w:cs="Arial"/>
          <w:color w:val="010000"/>
          <w:sz w:val="20"/>
        </w:rPr>
        <w:t>Rate calculated on the number of common outstanding shares (calculated on the basis before the completion of the offering): 175%</w:t>
      </w:r>
    </w:p>
    <w:p w:rsidR="004070FC" w:rsidRPr="004070FC" w:rsidRDefault="004070FC" w:rsidP="004070FC">
      <w:pPr>
        <w:numPr>
          <w:ilvl w:val="0"/>
          <w:numId w:val="1"/>
        </w:numPr>
        <w:pBdr>
          <w:top w:val="nil"/>
          <w:left w:val="nil"/>
          <w:bottom w:val="nil"/>
          <w:right w:val="nil"/>
          <w:between w:val="nil"/>
        </w:pBdr>
        <w:tabs>
          <w:tab w:val="left" w:pos="262"/>
        </w:tabs>
        <w:spacing w:after="120" w:line="360" w:lineRule="auto"/>
        <w:rPr>
          <w:rFonts w:ascii="Arial" w:eastAsia="Arial" w:hAnsi="Arial" w:cs="Arial"/>
          <w:color w:val="010000"/>
          <w:sz w:val="20"/>
          <w:szCs w:val="20"/>
        </w:rPr>
      </w:pPr>
      <w:r w:rsidRPr="004070FC">
        <w:rPr>
          <w:rFonts w:ascii="Arial" w:hAnsi="Arial" w:cs="Arial"/>
          <w:color w:val="010000"/>
          <w:sz w:val="20"/>
        </w:rPr>
        <w:t>The rate calculated based on the number of outstanding shares (after the completion of the offering, assuming that all shares are fully offered): 64%</w:t>
      </w:r>
    </w:p>
    <w:p w:rsidR="004070FC" w:rsidRPr="004070FC" w:rsidRDefault="004070FC" w:rsidP="004070FC">
      <w:pPr>
        <w:numPr>
          <w:ilvl w:val="0"/>
          <w:numId w:val="3"/>
        </w:numPr>
        <w:pBdr>
          <w:top w:val="nil"/>
          <w:left w:val="nil"/>
          <w:bottom w:val="nil"/>
          <w:right w:val="nil"/>
          <w:between w:val="nil"/>
        </w:pBdr>
        <w:tabs>
          <w:tab w:val="left" w:pos="358"/>
        </w:tabs>
        <w:spacing w:after="120" w:line="360" w:lineRule="auto"/>
        <w:rPr>
          <w:rFonts w:ascii="Arial" w:eastAsia="Arial" w:hAnsi="Arial" w:cs="Arial"/>
          <w:color w:val="010000"/>
          <w:sz w:val="20"/>
          <w:szCs w:val="20"/>
        </w:rPr>
      </w:pPr>
      <w:r w:rsidRPr="004070FC">
        <w:rPr>
          <w:rFonts w:ascii="Arial" w:hAnsi="Arial" w:cs="Arial"/>
          <w:color w:val="010000"/>
          <w:sz w:val="20"/>
        </w:rPr>
        <w:t>Offering price: VND10,000/share</w:t>
      </w:r>
    </w:p>
    <w:p w:rsidR="004070FC" w:rsidRPr="004070FC" w:rsidRDefault="004070FC" w:rsidP="004070FC">
      <w:pPr>
        <w:numPr>
          <w:ilvl w:val="0"/>
          <w:numId w:val="3"/>
        </w:numPr>
        <w:pBdr>
          <w:top w:val="nil"/>
          <w:left w:val="nil"/>
          <w:bottom w:val="nil"/>
          <w:right w:val="nil"/>
          <w:between w:val="nil"/>
        </w:pBdr>
        <w:tabs>
          <w:tab w:val="left" w:pos="358"/>
        </w:tabs>
        <w:spacing w:after="120" w:line="360" w:lineRule="auto"/>
        <w:rPr>
          <w:rFonts w:ascii="Arial" w:eastAsia="Arial" w:hAnsi="Arial" w:cs="Arial"/>
          <w:color w:val="010000"/>
          <w:sz w:val="20"/>
          <w:szCs w:val="20"/>
        </w:rPr>
      </w:pPr>
      <w:r w:rsidRPr="004070FC">
        <w:rPr>
          <w:rFonts w:ascii="Arial" w:hAnsi="Arial" w:cs="Arial"/>
          <w:color w:val="010000"/>
          <w:sz w:val="20"/>
        </w:rPr>
        <w:t>Expected offering time: Within 90 days from the date the State Securities Commission approves the Company's dossier on the private placement.</w:t>
      </w:r>
    </w:p>
    <w:p w:rsidR="004070FC" w:rsidRPr="004070FC" w:rsidRDefault="004070FC" w:rsidP="004070FC">
      <w:pPr>
        <w:numPr>
          <w:ilvl w:val="0"/>
          <w:numId w:val="3"/>
        </w:numPr>
        <w:pBdr>
          <w:top w:val="nil"/>
          <w:left w:val="nil"/>
          <w:bottom w:val="nil"/>
          <w:right w:val="nil"/>
          <w:between w:val="nil"/>
        </w:pBdr>
        <w:tabs>
          <w:tab w:val="left" w:pos="431"/>
        </w:tabs>
        <w:spacing w:after="120" w:line="360" w:lineRule="auto"/>
        <w:rPr>
          <w:rFonts w:ascii="Arial" w:eastAsia="Arial" w:hAnsi="Arial" w:cs="Arial"/>
          <w:color w:val="010000"/>
          <w:sz w:val="20"/>
          <w:szCs w:val="20"/>
        </w:rPr>
      </w:pPr>
      <w:r w:rsidRPr="004070FC">
        <w:rPr>
          <w:rFonts w:ascii="Arial" w:hAnsi="Arial" w:cs="Arial"/>
          <w:color w:val="010000"/>
          <w:sz w:val="20"/>
        </w:rPr>
        <w:t>Offering method: Offer privately placed shares to strategic shareholders.</w:t>
      </w:r>
    </w:p>
    <w:p w:rsidR="004070FC" w:rsidRPr="004070FC" w:rsidRDefault="004070FC" w:rsidP="004070FC">
      <w:pPr>
        <w:numPr>
          <w:ilvl w:val="0"/>
          <w:numId w:val="3"/>
        </w:numPr>
        <w:pBdr>
          <w:top w:val="nil"/>
          <w:left w:val="nil"/>
          <w:bottom w:val="nil"/>
          <w:right w:val="nil"/>
          <w:between w:val="nil"/>
        </w:pBdr>
        <w:tabs>
          <w:tab w:val="left" w:pos="455"/>
        </w:tabs>
        <w:spacing w:after="120" w:line="360" w:lineRule="auto"/>
        <w:rPr>
          <w:rFonts w:ascii="Arial" w:eastAsia="Arial" w:hAnsi="Arial" w:cs="Arial"/>
          <w:color w:val="010000"/>
          <w:sz w:val="20"/>
          <w:szCs w:val="20"/>
        </w:rPr>
      </w:pPr>
      <w:r w:rsidRPr="004070FC">
        <w:rPr>
          <w:rFonts w:ascii="Arial" w:hAnsi="Arial" w:cs="Arial"/>
          <w:color w:val="010000"/>
          <w:sz w:val="20"/>
        </w:rPr>
        <w:t>Transfer restriction: Shares successfully offered in this issuance will be restricted from transferring within 03 years for strategic investors and 01 year for professional securities investors from the completion date of the offering.</w:t>
      </w:r>
    </w:p>
    <w:p w:rsidR="004070FC" w:rsidRPr="004070FC" w:rsidRDefault="004070FC" w:rsidP="004070FC">
      <w:pPr>
        <w:numPr>
          <w:ilvl w:val="0"/>
          <w:numId w:val="3"/>
        </w:numPr>
        <w:pBdr>
          <w:top w:val="nil"/>
          <w:left w:val="nil"/>
          <w:bottom w:val="nil"/>
          <w:right w:val="nil"/>
          <w:between w:val="nil"/>
        </w:pBdr>
        <w:tabs>
          <w:tab w:val="left" w:pos="464"/>
        </w:tabs>
        <w:spacing w:after="120" w:line="360" w:lineRule="auto"/>
        <w:rPr>
          <w:rFonts w:ascii="Arial" w:eastAsia="Arial" w:hAnsi="Arial" w:cs="Arial"/>
          <w:color w:val="010000"/>
          <w:sz w:val="20"/>
          <w:szCs w:val="20"/>
        </w:rPr>
      </w:pPr>
      <w:r w:rsidRPr="004070FC">
        <w:rPr>
          <w:rFonts w:ascii="Arial" w:hAnsi="Arial" w:cs="Arial"/>
          <w:color w:val="010000"/>
          <w:sz w:val="20"/>
        </w:rPr>
        <w:t xml:space="preserve">Investor selection criteria: is a strategic investor and/or professional investor (professional </w:t>
      </w:r>
      <w:r w:rsidRPr="004070FC">
        <w:rPr>
          <w:rFonts w:ascii="Arial" w:hAnsi="Arial" w:cs="Arial"/>
          <w:color w:val="010000"/>
          <w:sz w:val="20"/>
        </w:rPr>
        <w:lastRenderedPageBreak/>
        <w:t>investors must ensure compliance with the provisions of Clause 1, Article 11 of the Law on Securities 2019) and is a domestic investor.</w:t>
      </w:r>
    </w:p>
    <w:p w:rsidR="004070FC" w:rsidRPr="004070FC" w:rsidRDefault="004070FC" w:rsidP="004070FC">
      <w:pPr>
        <w:numPr>
          <w:ilvl w:val="0"/>
          <w:numId w:val="3"/>
        </w:numPr>
        <w:pBdr>
          <w:top w:val="nil"/>
          <w:left w:val="nil"/>
          <w:bottom w:val="nil"/>
          <w:right w:val="nil"/>
          <w:between w:val="nil"/>
        </w:pBdr>
        <w:tabs>
          <w:tab w:val="left" w:pos="450"/>
        </w:tabs>
        <w:spacing w:after="120" w:line="360" w:lineRule="auto"/>
        <w:rPr>
          <w:rFonts w:ascii="Arial" w:eastAsia="Arial" w:hAnsi="Arial" w:cs="Arial"/>
          <w:color w:val="010000"/>
          <w:sz w:val="20"/>
          <w:szCs w:val="20"/>
        </w:rPr>
      </w:pPr>
      <w:r w:rsidRPr="004070FC">
        <w:rPr>
          <w:rFonts w:ascii="Arial" w:hAnsi="Arial" w:cs="Arial"/>
          <w:color w:val="010000"/>
          <w:sz w:val="20"/>
        </w:rPr>
        <w:t>Number of investors participating in the offering: maximum 10 strategic investors and/or professional investors.</w:t>
      </w:r>
    </w:p>
    <w:p w:rsidR="004070FC" w:rsidRPr="004070FC" w:rsidRDefault="004070FC" w:rsidP="004070FC">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14. List of expected eligible investors to be offered:</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32"/>
        <w:gridCol w:w="1325"/>
        <w:gridCol w:w="1395"/>
        <w:gridCol w:w="2730"/>
        <w:gridCol w:w="1606"/>
        <w:gridCol w:w="1329"/>
      </w:tblGrid>
      <w:tr w:rsidR="004070FC" w:rsidRPr="004070FC" w:rsidTr="00C16BB2">
        <w:tc>
          <w:tcPr>
            <w:tcW w:w="396"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 xml:space="preserve">No. </w:t>
            </w:r>
          </w:p>
        </w:tc>
        <w:tc>
          <w:tcPr>
            <w:tcW w:w="780"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Investors</w:t>
            </w:r>
          </w:p>
        </w:tc>
        <w:tc>
          <w:tcPr>
            <w:tcW w:w="547"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Classification</w:t>
            </w:r>
          </w:p>
        </w:tc>
        <w:tc>
          <w:tcPr>
            <w:tcW w:w="1559"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Information</w:t>
            </w:r>
          </w:p>
        </w:tc>
        <w:tc>
          <w:tcPr>
            <w:tcW w:w="936"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Address</w:t>
            </w:r>
          </w:p>
        </w:tc>
        <w:tc>
          <w:tcPr>
            <w:tcW w:w="782"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Number of shares registered to buy</w:t>
            </w:r>
          </w:p>
        </w:tc>
      </w:tr>
      <w:tr w:rsidR="004070FC" w:rsidRPr="004070FC" w:rsidTr="00C16BB2">
        <w:tc>
          <w:tcPr>
            <w:tcW w:w="396"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1</w:t>
            </w:r>
          </w:p>
        </w:tc>
        <w:tc>
          <w:tcPr>
            <w:tcW w:w="780"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Trinh Vu Minh</w:t>
            </w:r>
          </w:p>
        </w:tc>
        <w:tc>
          <w:tcPr>
            <w:tcW w:w="547"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Strategic investor</w:t>
            </w:r>
          </w:p>
        </w:tc>
        <w:tc>
          <w:tcPr>
            <w:tcW w:w="1559"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Citizen ID Card No. 037081002154</w:t>
            </w:r>
          </w:p>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 xml:space="preserve">Date of issue: February 4, 2022 </w:t>
            </w:r>
          </w:p>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Place of issue: Police Department for Administrative Management of Social Order</w:t>
            </w:r>
          </w:p>
        </w:tc>
        <w:tc>
          <w:tcPr>
            <w:tcW w:w="936"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 xml:space="preserve">Tan An Street, Tan Thanh, </w:t>
            </w:r>
            <w:proofErr w:type="spellStart"/>
            <w:r w:rsidRPr="004070FC">
              <w:rPr>
                <w:rFonts w:ascii="Arial" w:hAnsi="Arial" w:cs="Arial"/>
                <w:color w:val="010000"/>
                <w:sz w:val="20"/>
              </w:rPr>
              <w:t>Ninh</w:t>
            </w:r>
            <w:proofErr w:type="spellEnd"/>
            <w:r w:rsidRPr="004070FC">
              <w:rPr>
                <w:rFonts w:ascii="Arial" w:hAnsi="Arial" w:cs="Arial"/>
                <w:color w:val="010000"/>
                <w:sz w:val="20"/>
              </w:rPr>
              <w:t xml:space="preserve"> </w:t>
            </w:r>
            <w:proofErr w:type="spellStart"/>
            <w:r w:rsidRPr="004070FC">
              <w:rPr>
                <w:rFonts w:ascii="Arial" w:hAnsi="Arial" w:cs="Arial"/>
                <w:color w:val="010000"/>
                <w:sz w:val="20"/>
              </w:rPr>
              <w:t>Binh</w:t>
            </w:r>
            <w:proofErr w:type="spellEnd"/>
            <w:r w:rsidRPr="004070FC">
              <w:rPr>
                <w:rFonts w:ascii="Arial" w:hAnsi="Arial" w:cs="Arial"/>
                <w:color w:val="010000"/>
                <w:sz w:val="20"/>
              </w:rPr>
              <w:t xml:space="preserve"> City, </w:t>
            </w:r>
            <w:proofErr w:type="spellStart"/>
            <w:r w:rsidRPr="004070FC">
              <w:rPr>
                <w:rFonts w:ascii="Arial" w:hAnsi="Arial" w:cs="Arial"/>
                <w:color w:val="010000"/>
                <w:sz w:val="20"/>
              </w:rPr>
              <w:t>Ninh</w:t>
            </w:r>
            <w:proofErr w:type="spellEnd"/>
            <w:r w:rsidRPr="004070FC">
              <w:rPr>
                <w:rFonts w:ascii="Arial" w:hAnsi="Arial" w:cs="Arial"/>
                <w:color w:val="010000"/>
                <w:sz w:val="20"/>
              </w:rPr>
              <w:t xml:space="preserve"> </w:t>
            </w:r>
            <w:proofErr w:type="spellStart"/>
            <w:r w:rsidRPr="004070FC">
              <w:rPr>
                <w:rFonts w:ascii="Arial" w:hAnsi="Arial" w:cs="Arial"/>
                <w:color w:val="010000"/>
                <w:sz w:val="20"/>
              </w:rPr>
              <w:t>Binh</w:t>
            </w:r>
            <w:proofErr w:type="spellEnd"/>
            <w:r w:rsidRPr="004070FC">
              <w:rPr>
                <w:rFonts w:ascii="Arial" w:hAnsi="Arial" w:cs="Arial"/>
                <w:color w:val="010000"/>
                <w:sz w:val="20"/>
              </w:rPr>
              <w:t xml:space="preserve"> Province</w:t>
            </w:r>
          </w:p>
        </w:tc>
        <w:tc>
          <w:tcPr>
            <w:tcW w:w="782"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1,115,000</w:t>
            </w:r>
          </w:p>
        </w:tc>
      </w:tr>
      <w:tr w:rsidR="004070FC" w:rsidRPr="004070FC" w:rsidTr="00C16BB2">
        <w:tc>
          <w:tcPr>
            <w:tcW w:w="396"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2</w:t>
            </w:r>
          </w:p>
        </w:tc>
        <w:tc>
          <w:tcPr>
            <w:tcW w:w="780"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Vu Ha Duy</w:t>
            </w:r>
          </w:p>
        </w:tc>
        <w:tc>
          <w:tcPr>
            <w:tcW w:w="547"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Strategic investor</w:t>
            </w:r>
          </w:p>
        </w:tc>
        <w:tc>
          <w:tcPr>
            <w:tcW w:w="1559"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Citizen ID Card No. 03709003184</w:t>
            </w:r>
          </w:p>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Date of issue: September 26, 2024</w:t>
            </w:r>
          </w:p>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Place of issue: Ministry of Public Security</w:t>
            </w:r>
          </w:p>
        </w:tc>
        <w:tc>
          <w:tcPr>
            <w:tcW w:w="936"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 xml:space="preserve">Khanh Trung Street, Tan Thanh, </w:t>
            </w:r>
            <w:proofErr w:type="spellStart"/>
            <w:r w:rsidRPr="004070FC">
              <w:rPr>
                <w:rFonts w:ascii="Arial" w:hAnsi="Arial" w:cs="Arial"/>
                <w:color w:val="010000"/>
                <w:sz w:val="20"/>
              </w:rPr>
              <w:t>Ninh</w:t>
            </w:r>
            <w:proofErr w:type="spellEnd"/>
            <w:r w:rsidRPr="004070FC">
              <w:rPr>
                <w:rFonts w:ascii="Arial" w:hAnsi="Arial" w:cs="Arial"/>
                <w:color w:val="010000"/>
                <w:sz w:val="20"/>
              </w:rPr>
              <w:t xml:space="preserve"> </w:t>
            </w:r>
            <w:proofErr w:type="spellStart"/>
            <w:r w:rsidRPr="004070FC">
              <w:rPr>
                <w:rFonts w:ascii="Arial" w:hAnsi="Arial" w:cs="Arial"/>
                <w:color w:val="010000"/>
                <w:sz w:val="20"/>
              </w:rPr>
              <w:t>Binh</w:t>
            </w:r>
            <w:proofErr w:type="spellEnd"/>
            <w:r w:rsidRPr="004070FC">
              <w:rPr>
                <w:rFonts w:ascii="Arial" w:hAnsi="Arial" w:cs="Arial"/>
                <w:color w:val="010000"/>
                <w:sz w:val="20"/>
              </w:rPr>
              <w:t xml:space="preserve"> City, </w:t>
            </w:r>
            <w:proofErr w:type="spellStart"/>
            <w:r w:rsidRPr="004070FC">
              <w:rPr>
                <w:rFonts w:ascii="Arial" w:hAnsi="Arial" w:cs="Arial"/>
                <w:color w:val="010000"/>
                <w:sz w:val="20"/>
              </w:rPr>
              <w:t>Ninh</w:t>
            </w:r>
            <w:proofErr w:type="spellEnd"/>
            <w:r w:rsidRPr="004070FC">
              <w:rPr>
                <w:rFonts w:ascii="Arial" w:hAnsi="Arial" w:cs="Arial"/>
                <w:color w:val="010000"/>
                <w:sz w:val="20"/>
              </w:rPr>
              <w:t xml:space="preserve"> </w:t>
            </w:r>
            <w:proofErr w:type="spellStart"/>
            <w:r w:rsidRPr="004070FC">
              <w:rPr>
                <w:rFonts w:ascii="Arial" w:hAnsi="Arial" w:cs="Arial"/>
                <w:color w:val="010000"/>
                <w:sz w:val="20"/>
              </w:rPr>
              <w:t>Binh</w:t>
            </w:r>
            <w:proofErr w:type="spellEnd"/>
            <w:r w:rsidRPr="004070FC">
              <w:rPr>
                <w:rFonts w:ascii="Arial" w:hAnsi="Arial" w:cs="Arial"/>
                <w:color w:val="010000"/>
                <w:sz w:val="20"/>
              </w:rPr>
              <w:t xml:space="preserve"> Province</w:t>
            </w:r>
          </w:p>
        </w:tc>
        <w:tc>
          <w:tcPr>
            <w:tcW w:w="782"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1,275,000</w:t>
            </w:r>
          </w:p>
        </w:tc>
      </w:tr>
      <w:tr w:rsidR="004070FC" w:rsidRPr="004070FC" w:rsidTr="00C16BB2">
        <w:tc>
          <w:tcPr>
            <w:tcW w:w="396"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3</w:t>
            </w:r>
          </w:p>
        </w:tc>
        <w:tc>
          <w:tcPr>
            <w:tcW w:w="780"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Nguyen Thi Thu Thuy</w:t>
            </w:r>
          </w:p>
        </w:tc>
        <w:tc>
          <w:tcPr>
            <w:tcW w:w="547"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Strategic investor</w:t>
            </w:r>
          </w:p>
        </w:tc>
        <w:tc>
          <w:tcPr>
            <w:tcW w:w="1559"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Citizen ID Card No. 019184000005</w:t>
            </w:r>
          </w:p>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 xml:space="preserve">Date of issue: May 15, 2023. </w:t>
            </w:r>
          </w:p>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Place of issue: Police Department for Administrative Management of Social Order</w:t>
            </w:r>
          </w:p>
        </w:tc>
        <w:tc>
          <w:tcPr>
            <w:tcW w:w="936"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tabs>
                <w:tab w:val="left" w:pos="1027"/>
              </w:tabs>
              <w:spacing w:after="120" w:line="360" w:lineRule="auto"/>
              <w:rPr>
                <w:rFonts w:ascii="Arial" w:eastAsia="Arial" w:hAnsi="Arial" w:cs="Arial"/>
                <w:color w:val="010000"/>
                <w:sz w:val="20"/>
                <w:szCs w:val="20"/>
              </w:rPr>
            </w:pPr>
            <w:r w:rsidRPr="004070FC">
              <w:rPr>
                <w:rFonts w:ascii="Arial" w:hAnsi="Arial" w:cs="Arial"/>
                <w:color w:val="010000"/>
                <w:sz w:val="20"/>
              </w:rPr>
              <w:t>Group 27 Hoang Van Thu, Hoang Mai, Hanoi</w:t>
            </w:r>
          </w:p>
        </w:tc>
        <w:tc>
          <w:tcPr>
            <w:tcW w:w="782"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1,200,000</w:t>
            </w:r>
          </w:p>
        </w:tc>
      </w:tr>
      <w:tr w:rsidR="004070FC" w:rsidRPr="004070FC" w:rsidTr="00C16BB2">
        <w:tc>
          <w:tcPr>
            <w:tcW w:w="4218" w:type="pct"/>
            <w:gridSpan w:val="5"/>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Total</w:t>
            </w:r>
          </w:p>
        </w:tc>
        <w:tc>
          <w:tcPr>
            <w:tcW w:w="782"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3,500,000</w:t>
            </w:r>
          </w:p>
        </w:tc>
      </w:tr>
    </w:tbl>
    <w:p w:rsidR="004070FC" w:rsidRPr="004070FC" w:rsidRDefault="004070FC" w:rsidP="004070FC">
      <w:pPr>
        <w:numPr>
          <w:ilvl w:val="0"/>
          <w:numId w:val="4"/>
        </w:numPr>
        <w:pBdr>
          <w:top w:val="nil"/>
          <w:left w:val="nil"/>
          <w:bottom w:val="nil"/>
          <w:right w:val="nil"/>
          <w:between w:val="nil"/>
        </w:pBdr>
        <w:tabs>
          <w:tab w:val="left" w:pos="455"/>
        </w:tabs>
        <w:spacing w:after="120" w:line="360" w:lineRule="auto"/>
        <w:rPr>
          <w:rFonts w:ascii="Arial" w:eastAsia="Arial" w:hAnsi="Arial" w:cs="Arial"/>
          <w:color w:val="010000"/>
          <w:sz w:val="20"/>
          <w:szCs w:val="20"/>
        </w:rPr>
      </w:pPr>
      <w:r w:rsidRPr="004070FC">
        <w:rPr>
          <w:rFonts w:ascii="Arial" w:hAnsi="Arial" w:cs="Arial"/>
          <w:color w:val="010000"/>
          <w:sz w:val="20"/>
        </w:rPr>
        <w:t xml:space="preserve">Plan on handling the number of shares not fully distributed: In case the above investors do not register to buy all, the General Meeting of Shareholders authorizes the Board of Directors to decide on the subjects of the private placement according to the above criteria for selecting investors at a </w:t>
      </w:r>
      <w:r w:rsidRPr="004070FC">
        <w:rPr>
          <w:rFonts w:ascii="Arial" w:hAnsi="Arial" w:cs="Arial"/>
          <w:color w:val="010000"/>
          <w:sz w:val="20"/>
        </w:rPr>
        <w:lastRenderedPageBreak/>
        <w:t>price not lower than the initial selling price and not exceeding a maximum of 10 investors.</w:t>
      </w:r>
    </w:p>
    <w:p w:rsidR="004070FC" w:rsidRPr="004070FC" w:rsidRDefault="004070FC" w:rsidP="004070FC">
      <w:pPr>
        <w:numPr>
          <w:ilvl w:val="0"/>
          <w:numId w:val="4"/>
        </w:numPr>
        <w:pBdr>
          <w:top w:val="nil"/>
          <w:left w:val="nil"/>
          <w:bottom w:val="nil"/>
          <w:right w:val="nil"/>
          <w:between w:val="nil"/>
        </w:pBdr>
        <w:tabs>
          <w:tab w:val="left" w:pos="459"/>
        </w:tabs>
        <w:spacing w:after="120" w:line="360" w:lineRule="auto"/>
        <w:rPr>
          <w:rFonts w:ascii="Arial" w:eastAsia="Arial" w:hAnsi="Arial" w:cs="Arial"/>
          <w:color w:val="010000"/>
          <w:sz w:val="20"/>
          <w:szCs w:val="20"/>
        </w:rPr>
      </w:pPr>
      <w:r w:rsidRPr="004070FC">
        <w:rPr>
          <w:rFonts w:ascii="Arial" w:hAnsi="Arial" w:cs="Arial"/>
          <w:color w:val="010000"/>
          <w:sz w:val="20"/>
        </w:rPr>
        <w:t>Deposit registration and share trading: Shares successfully offered in this plan will be additionally registered for depository at Vietnam Securities Depository and Clearing Corporation and additionally registered for trading at the Stock Exchange in accordance with the provisions of law.</w:t>
      </w:r>
    </w:p>
    <w:p w:rsidR="004070FC" w:rsidRPr="004070FC" w:rsidRDefault="004070FC" w:rsidP="004070FC">
      <w:pPr>
        <w:keepNext/>
        <w:numPr>
          <w:ilvl w:val="1"/>
          <w:numId w:val="2"/>
        </w:numPr>
        <w:pBdr>
          <w:top w:val="nil"/>
          <w:left w:val="nil"/>
          <w:bottom w:val="nil"/>
          <w:right w:val="nil"/>
          <w:between w:val="nil"/>
        </w:pBdr>
        <w:tabs>
          <w:tab w:val="left" w:pos="546"/>
        </w:tabs>
        <w:spacing w:after="120" w:line="360" w:lineRule="auto"/>
        <w:rPr>
          <w:rFonts w:ascii="Arial" w:eastAsia="Arial" w:hAnsi="Arial" w:cs="Arial"/>
          <w:color w:val="010000"/>
          <w:sz w:val="20"/>
          <w:szCs w:val="20"/>
        </w:rPr>
      </w:pPr>
      <w:r w:rsidRPr="004070FC">
        <w:rPr>
          <w:rFonts w:ascii="Arial" w:hAnsi="Arial" w:cs="Arial"/>
          <w:color w:val="010000"/>
          <w:sz w:val="20"/>
        </w:rPr>
        <w:t>Plan on using capital</w:t>
      </w:r>
    </w:p>
    <w:p w:rsidR="004070FC" w:rsidRPr="004070FC" w:rsidRDefault="004070FC" w:rsidP="004070FC">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The amount of proceeds is VND35</w:t>
      </w:r>
      <w:proofErr w:type="gramStart"/>
      <w:r w:rsidRPr="004070FC">
        <w:rPr>
          <w:rFonts w:ascii="Arial" w:hAnsi="Arial" w:cs="Arial"/>
          <w:color w:val="010000"/>
          <w:sz w:val="20"/>
        </w:rPr>
        <w:t>,000,000,000</w:t>
      </w:r>
      <w:proofErr w:type="gramEnd"/>
      <w:r w:rsidRPr="004070FC">
        <w:rPr>
          <w:rFonts w:ascii="Arial" w:hAnsi="Arial" w:cs="Arial"/>
          <w:color w:val="010000"/>
          <w:sz w:val="20"/>
        </w:rPr>
        <w:t>. The Company plans to use all these proceeds to repay the loan, specifically as follows: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55"/>
        <w:gridCol w:w="3210"/>
        <w:gridCol w:w="2566"/>
        <w:gridCol w:w="2586"/>
      </w:tblGrid>
      <w:tr w:rsidR="004070FC" w:rsidRPr="004070FC" w:rsidTr="00C16BB2">
        <w:tc>
          <w:tcPr>
            <w:tcW w:w="363"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 xml:space="preserve">No. </w:t>
            </w:r>
          </w:p>
        </w:tc>
        <w:tc>
          <w:tcPr>
            <w:tcW w:w="1780"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 xml:space="preserve">Contract No. </w:t>
            </w:r>
          </w:p>
        </w:tc>
        <w:tc>
          <w:tcPr>
            <w:tcW w:w="1423"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Lender</w:t>
            </w:r>
          </w:p>
        </w:tc>
        <w:tc>
          <w:tcPr>
            <w:tcW w:w="1434"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Repayment Amount</w:t>
            </w:r>
          </w:p>
        </w:tc>
      </w:tr>
      <w:tr w:rsidR="004070FC" w:rsidRPr="004070FC" w:rsidTr="00C16BB2">
        <w:tc>
          <w:tcPr>
            <w:tcW w:w="363"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1</w:t>
            </w:r>
          </w:p>
        </w:tc>
        <w:tc>
          <w:tcPr>
            <w:tcW w:w="1780"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1808/2025-BAMIEN-ONW</w:t>
            </w:r>
          </w:p>
        </w:tc>
        <w:tc>
          <w:tcPr>
            <w:tcW w:w="1423"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 xml:space="preserve">Vietnam Three Regions </w:t>
            </w:r>
            <w:proofErr w:type="spellStart"/>
            <w:r w:rsidRPr="004070FC">
              <w:rPr>
                <w:rFonts w:ascii="Arial" w:hAnsi="Arial" w:cs="Arial"/>
                <w:color w:val="010000"/>
                <w:sz w:val="20"/>
              </w:rPr>
              <w:t>Specialities</w:t>
            </w:r>
            <w:proofErr w:type="spellEnd"/>
            <w:r w:rsidRPr="004070FC">
              <w:rPr>
                <w:rFonts w:ascii="Arial" w:hAnsi="Arial" w:cs="Arial"/>
                <w:color w:val="010000"/>
                <w:sz w:val="20"/>
              </w:rPr>
              <w:t xml:space="preserve"> Joint Stock Company</w:t>
            </w:r>
          </w:p>
        </w:tc>
        <w:tc>
          <w:tcPr>
            <w:tcW w:w="1434"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35,000,000,000</w:t>
            </w:r>
          </w:p>
        </w:tc>
      </w:tr>
      <w:tr w:rsidR="004070FC" w:rsidRPr="004070FC" w:rsidTr="00C16BB2">
        <w:tc>
          <w:tcPr>
            <w:tcW w:w="3566" w:type="pct"/>
            <w:gridSpan w:val="3"/>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Total</w:t>
            </w:r>
          </w:p>
        </w:tc>
        <w:tc>
          <w:tcPr>
            <w:tcW w:w="1434" w:type="pct"/>
            <w:shd w:val="clear" w:color="auto" w:fill="auto"/>
            <w:tcMar>
              <w:top w:w="0" w:type="dxa"/>
              <w:bottom w:w="0" w:type="dxa"/>
            </w:tcMar>
            <w:vAlign w:val="center"/>
          </w:tcPr>
          <w:p w:rsidR="004070FC" w:rsidRPr="004070FC" w:rsidRDefault="004070FC" w:rsidP="00C16BB2">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35,000,000,000</w:t>
            </w:r>
          </w:p>
        </w:tc>
      </w:tr>
    </w:tbl>
    <w:p w:rsidR="004070FC" w:rsidRPr="004070FC" w:rsidRDefault="004070FC" w:rsidP="004070FC">
      <w:pPr>
        <w:pBdr>
          <w:top w:val="nil"/>
          <w:left w:val="nil"/>
          <w:bottom w:val="nil"/>
          <w:right w:val="nil"/>
          <w:between w:val="nil"/>
        </w:pBdr>
        <w:spacing w:after="120" w:line="360" w:lineRule="auto"/>
        <w:jc w:val="both"/>
        <w:rPr>
          <w:rFonts w:ascii="Arial" w:eastAsia="Arial" w:hAnsi="Arial" w:cs="Arial"/>
          <w:color w:val="010000"/>
          <w:sz w:val="20"/>
          <w:szCs w:val="20"/>
        </w:rPr>
      </w:pPr>
      <w:proofErr w:type="spellStart"/>
      <w:r w:rsidRPr="004070FC">
        <w:rPr>
          <w:rFonts w:ascii="Arial" w:hAnsi="Arial" w:cs="Arial"/>
          <w:color w:val="010000"/>
          <w:sz w:val="20"/>
        </w:rPr>
        <w:t>IIn</w:t>
      </w:r>
      <w:proofErr w:type="spellEnd"/>
      <w:r w:rsidRPr="004070FC">
        <w:rPr>
          <w:rFonts w:ascii="Arial" w:hAnsi="Arial" w:cs="Arial"/>
          <w:color w:val="010000"/>
          <w:sz w:val="20"/>
        </w:rPr>
        <w:t xml:space="preserve"> the event that the amount of proceeds obtained from the offering is insufficient to cover the entire intended purpose, the Board of Directors will utilize other mobilized capital sources to ensure compliance with the Company's regulations and relevant laws.</w:t>
      </w:r>
    </w:p>
    <w:p w:rsidR="004070FC" w:rsidRPr="004070FC" w:rsidRDefault="004070FC" w:rsidP="004070FC">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The General Meeting of Shareholders authorizes the Board of Directors:</w:t>
      </w:r>
    </w:p>
    <w:p w:rsidR="004070FC" w:rsidRPr="004070FC" w:rsidRDefault="004070FC" w:rsidP="004070FC">
      <w:pPr>
        <w:numPr>
          <w:ilvl w:val="0"/>
          <w:numId w:val="1"/>
        </w:numPr>
        <w:pBdr>
          <w:top w:val="nil"/>
          <w:left w:val="nil"/>
          <w:bottom w:val="nil"/>
          <w:right w:val="nil"/>
          <w:between w:val="nil"/>
        </w:pBdr>
        <w:tabs>
          <w:tab w:val="left" w:pos="262"/>
        </w:tabs>
        <w:spacing w:after="120" w:line="360" w:lineRule="auto"/>
        <w:rPr>
          <w:rFonts w:ascii="Arial" w:eastAsia="Arial" w:hAnsi="Arial" w:cs="Arial"/>
          <w:color w:val="010000"/>
          <w:sz w:val="20"/>
          <w:szCs w:val="20"/>
        </w:rPr>
      </w:pPr>
      <w:r w:rsidRPr="004070FC">
        <w:rPr>
          <w:rFonts w:ascii="Arial" w:hAnsi="Arial" w:cs="Arial"/>
          <w:color w:val="010000"/>
          <w:sz w:val="20"/>
        </w:rPr>
        <w:t>Approve the detailed plan on using capital</w:t>
      </w:r>
    </w:p>
    <w:p w:rsidR="004070FC" w:rsidRPr="004070FC" w:rsidRDefault="004070FC" w:rsidP="004070FC">
      <w:pPr>
        <w:numPr>
          <w:ilvl w:val="0"/>
          <w:numId w:val="1"/>
        </w:numPr>
        <w:pBdr>
          <w:top w:val="nil"/>
          <w:left w:val="nil"/>
          <w:bottom w:val="nil"/>
          <w:right w:val="nil"/>
          <w:between w:val="nil"/>
        </w:pBdr>
        <w:tabs>
          <w:tab w:val="left" w:pos="267"/>
        </w:tabs>
        <w:spacing w:after="120" w:line="360" w:lineRule="auto"/>
        <w:rPr>
          <w:rFonts w:ascii="Arial" w:eastAsia="Arial" w:hAnsi="Arial" w:cs="Arial"/>
          <w:color w:val="010000"/>
          <w:sz w:val="20"/>
          <w:szCs w:val="20"/>
        </w:rPr>
      </w:pPr>
      <w:r w:rsidRPr="004070FC">
        <w:rPr>
          <w:rFonts w:ascii="Arial" w:hAnsi="Arial" w:cs="Arial"/>
          <w:color w:val="010000"/>
          <w:sz w:val="20"/>
        </w:rPr>
        <w:t>Based on the market situation and the specific situation of the operations of the Company, decide on changing the purpose of using the capital obtained from the offering to bring business efficiency to the Company. The Board of Directors is responsible for reporting the change of the purpose of capital use (if any) at the nearest General Meeting of Shareholders.</w:t>
      </w:r>
    </w:p>
    <w:p w:rsidR="004070FC" w:rsidRPr="004070FC" w:rsidRDefault="004070FC" w:rsidP="004070FC">
      <w:pPr>
        <w:keepNext/>
        <w:numPr>
          <w:ilvl w:val="0"/>
          <w:numId w:val="2"/>
        </w:numPr>
        <w:pBdr>
          <w:top w:val="nil"/>
          <w:left w:val="nil"/>
          <w:bottom w:val="nil"/>
          <w:right w:val="nil"/>
          <w:between w:val="nil"/>
        </w:pBdr>
        <w:tabs>
          <w:tab w:val="left" w:pos="363"/>
        </w:tabs>
        <w:spacing w:after="120" w:line="360" w:lineRule="auto"/>
        <w:rPr>
          <w:rFonts w:ascii="Arial" w:eastAsia="Arial" w:hAnsi="Arial" w:cs="Arial"/>
          <w:color w:val="010000"/>
          <w:sz w:val="20"/>
          <w:szCs w:val="20"/>
        </w:rPr>
      </w:pPr>
      <w:r w:rsidRPr="004070FC">
        <w:rPr>
          <w:rFonts w:ascii="Arial" w:hAnsi="Arial" w:cs="Arial"/>
          <w:color w:val="010000"/>
          <w:sz w:val="20"/>
        </w:rPr>
        <w:t>Plan on ensuring foreign investors' ownership rate</w:t>
      </w:r>
    </w:p>
    <w:p w:rsidR="004070FC" w:rsidRPr="004070FC" w:rsidRDefault="004070FC" w:rsidP="004070FC">
      <w:pPr>
        <w:pBdr>
          <w:top w:val="nil"/>
          <w:left w:val="nil"/>
          <w:bottom w:val="nil"/>
          <w:right w:val="nil"/>
          <w:between w:val="nil"/>
        </w:pBdr>
        <w:spacing w:after="120" w:line="360" w:lineRule="auto"/>
        <w:rPr>
          <w:rFonts w:ascii="Arial" w:eastAsia="Arial" w:hAnsi="Arial" w:cs="Arial"/>
          <w:color w:val="010000"/>
          <w:sz w:val="20"/>
          <w:szCs w:val="20"/>
        </w:rPr>
      </w:pPr>
      <w:bookmarkStart w:id="1" w:name="_heading=h.ab4mywl7evhh"/>
      <w:bookmarkEnd w:id="1"/>
      <w:r w:rsidRPr="004070FC">
        <w:rPr>
          <w:rFonts w:ascii="Arial" w:hAnsi="Arial" w:cs="Arial"/>
          <w:color w:val="010000"/>
          <w:sz w:val="20"/>
        </w:rPr>
        <w:t>The plan on private placement is not offering to foreign investors, so the above private placement will not increase the ownership rate of foreign investors in the Company.</w:t>
      </w:r>
    </w:p>
    <w:p w:rsidR="004070FC" w:rsidRPr="004070FC" w:rsidRDefault="004070FC" w:rsidP="004070FC">
      <w:pPr>
        <w:keepNext/>
        <w:numPr>
          <w:ilvl w:val="0"/>
          <w:numId w:val="2"/>
        </w:numPr>
        <w:pBdr>
          <w:top w:val="nil"/>
          <w:left w:val="nil"/>
          <w:bottom w:val="nil"/>
          <w:right w:val="nil"/>
          <w:between w:val="nil"/>
        </w:pBdr>
        <w:tabs>
          <w:tab w:val="left" w:pos="358"/>
        </w:tabs>
        <w:spacing w:after="120" w:line="360" w:lineRule="auto"/>
        <w:rPr>
          <w:rFonts w:ascii="Arial" w:eastAsia="Arial" w:hAnsi="Arial" w:cs="Arial"/>
          <w:color w:val="010000"/>
          <w:sz w:val="20"/>
          <w:szCs w:val="20"/>
        </w:rPr>
      </w:pPr>
      <w:r w:rsidRPr="004070FC">
        <w:rPr>
          <w:rFonts w:ascii="Arial" w:hAnsi="Arial" w:cs="Arial"/>
          <w:color w:val="010000"/>
          <w:sz w:val="20"/>
        </w:rPr>
        <w:t xml:space="preserve">Amend Article 6 of the Company's charter according to the new capital scale after the completion of the offering </w:t>
      </w:r>
    </w:p>
    <w:p w:rsidR="00044428" w:rsidRPr="004070FC" w:rsidRDefault="004070FC" w:rsidP="004070FC">
      <w:pPr>
        <w:pBdr>
          <w:top w:val="nil"/>
          <w:left w:val="nil"/>
          <w:bottom w:val="nil"/>
          <w:right w:val="nil"/>
          <w:between w:val="nil"/>
        </w:pBdr>
        <w:spacing w:after="120" w:line="360" w:lineRule="auto"/>
        <w:rPr>
          <w:rFonts w:ascii="Arial" w:eastAsia="Arial" w:hAnsi="Arial" w:cs="Arial"/>
          <w:color w:val="010000"/>
          <w:sz w:val="20"/>
          <w:szCs w:val="20"/>
        </w:rPr>
      </w:pPr>
      <w:r w:rsidRPr="004070FC">
        <w:rPr>
          <w:rFonts w:ascii="Arial" w:hAnsi="Arial" w:cs="Arial"/>
          <w:color w:val="010000"/>
          <w:sz w:val="20"/>
        </w:rPr>
        <w:t>Article 3. This General Mandate takes effect from the date of approval. The Board of Directors, the Supervisory Board and the Board of Managers of the Company are responsible for the implementation of this General Mandate.</w:t>
      </w:r>
    </w:p>
    <w:sectPr w:rsidR="00044428" w:rsidRPr="004070FC" w:rsidSect="004070FC">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embedRegular r:id="rId1" w:fontKey="{702CD7F2-996E-4611-B984-94F39B5BDF8F}"/>
    <w:embedBold r:id="rId2" w:fontKey="{2275A4E5-2486-4841-A2EB-73B365F3917B}"/>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F29E5864-681C-415A-89E8-4112A2BF3D9F}"/>
  </w:font>
  <w:font w:name="Calibri Light">
    <w:panose1 w:val="020F0302020204030204"/>
    <w:charset w:val="00"/>
    <w:family w:val="swiss"/>
    <w:pitch w:val="variable"/>
    <w:sig w:usb0="E4002EFF" w:usb1="C200247B" w:usb2="00000009" w:usb3="00000000" w:csb0="000001FF" w:csb1="00000000"/>
    <w:embedRegular r:id="rId4" w:fontKey="{D525BABA-C184-4CFD-91AD-A0FC299EE4CA}"/>
  </w:font>
  <w:font w:name="Calibri">
    <w:panose1 w:val="020F0502020204030204"/>
    <w:charset w:val="00"/>
    <w:family w:val="swiss"/>
    <w:pitch w:val="variable"/>
    <w:sig w:usb0="E4002EFF" w:usb1="C200247B" w:usb2="00000009" w:usb3="00000000" w:csb0="000001FF" w:csb1="00000000"/>
    <w:embedRegular r:id="rId5" w:fontKey="{B9CA1B75-3CD6-4553-928B-DEE05E82D78A}"/>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C66521"/>
    <w:multiLevelType w:val="multilevel"/>
    <w:tmpl w:val="D50812BE"/>
    <w:lvl w:ilvl="0">
      <w:start w:val="15"/>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4F135D68"/>
    <w:multiLevelType w:val="multilevel"/>
    <w:tmpl w:val="47D8A9F0"/>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6AFB684A"/>
    <w:multiLevelType w:val="multilevel"/>
    <w:tmpl w:val="5DE47FB2"/>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72F73CD3"/>
    <w:multiLevelType w:val="multilevel"/>
    <w:tmpl w:val="6C7C5CFE"/>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start w:val="1"/>
      <w:numFmt w:val="decimal"/>
      <w:lvlText w:val="%1.%2."/>
      <w:lvlJc w:val="left"/>
      <w:pPr>
        <w:ind w:left="0" w:firstLine="0"/>
      </w:pPr>
      <w:rPr>
        <w:rFonts w:ascii="Arial" w:eastAsia="Arial" w:hAnsi="Arial" w:cs="Arial"/>
        <w:b w:val="0"/>
        <w:bCs w:val="0"/>
        <w:i w:val="0"/>
        <w:iCs w:val="0"/>
        <w:smallCaps w:val="0"/>
        <w:strike w:val="0"/>
        <w:color w:val="000000"/>
        <w:sz w:val="20"/>
        <w:szCs w:val="20"/>
        <w:highlight w:val="white"/>
        <w:u w:val="none"/>
        <w:vertAlign w:val="baseline"/>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428"/>
    <w:rsid w:val="00044428"/>
    <w:rsid w:val="004070FC"/>
    <w:rsid w:val="005824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24574A-5C17-4081-AF36-F46CCAC81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Heading10">
    <w:name w:val="Heading #1_"/>
    <w:basedOn w:val="DefaultParagraphFont"/>
    <w:link w:val="Heading11"/>
    <w:rPr>
      <w:rFonts w:ascii="Times New Roman" w:eastAsia="Times New Roman" w:hAnsi="Times New Roman" w:cs="Times New Roman"/>
      <w:b/>
      <w:bCs/>
      <w:i w:val="0"/>
      <w:iCs w:val="0"/>
      <w:smallCaps w:val="0"/>
      <w:strike w:val="0"/>
      <w:sz w:val="22"/>
      <w:szCs w:val="22"/>
      <w:u w:val="none"/>
      <w:shd w:val="clear" w:color="auto" w:fill="auto"/>
    </w:rPr>
  </w:style>
  <w:style w:type="character" w:customStyle="1" w:styleId="Tablecaption">
    <w:name w:val="Table caption_"/>
    <w:basedOn w:val="DefaultParagraphFont"/>
    <w:link w:val="Tablecaption0"/>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Bodytext2">
    <w:name w:val="Body text (2)_"/>
    <w:basedOn w:val="DefaultParagraphFont"/>
    <w:link w:val="Bodytext20"/>
    <w:rPr>
      <w:rFonts w:ascii="Times New Roman" w:eastAsia="Times New Roman" w:hAnsi="Times New Roman" w:cs="Times New Roman"/>
      <w:b w:val="0"/>
      <w:bCs w:val="0"/>
      <w:i/>
      <w:iCs/>
      <w:smallCaps w:val="0"/>
      <w:strike w:val="0"/>
      <w:sz w:val="19"/>
      <w:szCs w:val="19"/>
      <w:u w:val="none"/>
      <w:shd w:val="clear" w:color="auto" w:fill="auto"/>
    </w:rPr>
  </w:style>
  <w:style w:type="paragraph" w:styleId="BodyText">
    <w:name w:val="Body Text"/>
    <w:basedOn w:val="Normal"/>
    <w:link w:val="BodyTextChar"/>
    <w:qFormat/>
    <w:pPr>
      <w:spacing w:line="343" w:lineRule="auto"/>
    </w:pPr>
    <w:rPr>
      <w:rFonts w:ascii="Times New Roman" w:eastAsia="Times New Roman" w:hAnsi="Times New Roman" w:cs="Times New Roman"/>
      <w:sz w:val="22"/>
      <w:szCs w:val="22"/>
    </w:rPr>
  </w:style>
  <w:style w:type="paragraph" w:customStyle="1" w:styleId="Heading11">
    <w:name w:val="Heading #1"/>
    <w:basedOn w:val="Normal"/>
    <w:link w:val="Heading10"/>
    <w:pPr>
      <w:spacing w:line="343" w:lineRule="auto"/>
      <w:outlineLvl w:val="0"/>
    </w:pPr>
    <w:rPr>
      <w:rFonts w:ascii="Times New Roman" w:eastAsia="Times New Roman" w:hAnsi="Times New Roman" w:cs="Times New Roman"/>
      <w:b/>
      <w:bCs/>
      <w:sz w:val="22"/>
      <w:szCs w:val="22"/>
    </w:rPr>
  </w:style>
  <w:style w:type="paragraph" w:customStyle="1" w:styleId="Tablecaption0">
    <w:name w:val="Table caption"/>
    <w:basedOn w:val="Normal"/>
    <w:link w:val="Tablecaption"/>
    <w:pPr>
      <w:spacing w:line="343" w:lineRule="auto"/>
    </w:pPr>
    <w:rPr>
      <w:rFonts w:ascii="Times New Roman" w:eastAsia="Times New Roman" w:hAnsi="Times New Roman" w:cs="Times New Roman"/>
      <w:sz w:val="22"/>
      <w:szCs w:val="22"/>
    </w:rPr>
  </w:style>
  <w:style w:type="paragraph" w:customStyle="1" w:styleId="Other0">
    <w:name w:val="Other"/>
    <w:basedOn w:val="Normal"/>
    <w:link w:val="Other"/>
    <w:pPr>
      <w:spacing w:line="343" w:lineRule="auto"/>
    </w:pPr>
    <w:rPr>
      <w:rFonts w:ascii="Times New Roman" w:eastAsia="Times New Roman" w:hAnsi="Times New Roman" w:cs="Times New Roman"/>
      <w:sz w:val="22"/>
      <w:szCs w:val="22"/>
    </w:rPr>
  </w:style>
  <w:style w:type="paragraph" w:customStyle="1" w:styleId="Bodytext20">
    <w:name w:val="Body text (2)"/>
    <w:basedOn w:val="Normal"/>
    <w:link w:val="Bodytext2"/>
    <w:pPr>
      <w:ind w:firstLine="440"/>
    </w:pPr>
    <w:rPr>
      <w:rFonts w:ascii="Times New Roman" w:eastAsia="Times New Roman" w:hAnsi="Times New Roman" w:cs="Times New Roman"/>
      <w:i/>
      <w:iCs/>
      <w:sz w:val="19"/>
      <w:szCs w:val="19"/>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Ind w:w="0" w:type="dxa"/>
      <w:tblCellMar>
        <w:top w:w="0" w:type="dxa"/>
        <w:bottom w:w="0" w:type="dxa"/>
      </w:tblCellMar>
    </w:tblPr>
  </w:style>
  <w:style w:type="table" w:customStyle="1" w:styleId="a0">
    <w:basedOn w:val="TableNormal"/>
    <w:tblPr>
      <w:tblStyleRowBandSize w:val="1"/>
      <w:tblStyleColBandSize w:val="1"/>
      <w:tblInd w:w="0" w:type="dxa"/>
      <w:tblCellMar>
        <w:top w:w="0" w:type="dxa"/>
        <w:bottom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0rFXR8e6CwE+/q6E7X9e83Pp1A==">CgMxLjAyDmguYWI0bXl3bDdldmhoOAByITFrQ2xwLTI3TERpTlpoY3Z4cFc1eXdvdWNnRjFUVGc0UQ==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798</Words>
  <Characters>4555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 Thu Giang</dc:creator>
  <cp:lastModifiedBy>Nguyen Thi Thu Giang</cp:lastModifiedBy>
  <cp:revision>2</cp:revision>
  <dcterms:created xsi:type="dcterms:W3CDTF">2025-12-01T04:34:00Z</dcterms:created>
  <dcterms:modified xsi:type="dcterms:W3CDTF">2025-12-01T04:34:00Z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fd24e909-6a8e-4ac0-899f-88e7d84982f9</vt:lpwstr>
  </property>
</Properties>
</file>