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520"/>
        </w:tabs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bookmarkStart w:id="0" w:name="_GoBack"/>
      <w:bookmarkEnd w:id="0"/>
      <w:r w:rsidRPr="0007687D">
        <w:rPr>
          <w:rFonts w:ascii="Arial" w:hAnsi="Arial" w:cs="Arial"/>
          <w:b/>
          <w:color w:val="010000"/>
          <w:sz w:val="20"/>
        </w:rPr>
        <w:t>PVX: Board Decision</w:t>
      </w:r>
    </w:p>
    <w:p w14:paraId="00000002" w14:textId="0B204224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520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On December 1, 2025, Petro Vietnam Construction Joint Stock Corporation announced Decision No. 132/QD-XLDK on approving the Corporation to authorize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-Dong Do to carry out procedures for transferring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>-Dong Do's capital at PVC-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 as follows: </w:t>
      </w:r>
    </w:p>
    <w:p w14:paraId="00000003" w14:textId="4760EEA1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‎‎Article 1. Approve the Corporation to authorize Petroleum Dong Do Joint Stock Company (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-Dong Do) to carry out procedures for transferring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>-Dong Do's capital at PVC-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 with the following main contents:</w:t>
      </w:r>
    </w:p>
    <w:p w14:paraId="00000004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2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Name of transferred shares: 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 Petroleum Construction JSC</w:t>
      </w:r>
    </w:p>
    <w:p w14:paraId="00000005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2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Type of shares: Common shares</w:t>
      </w:r>
    </w:p>
    <w:p w14:paraId="00000006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2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Par value of share: VND10,000/share</w:t>
      </w:r>
    </w:p>
    <w:p w14:paraId="00000007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6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Number of shares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-Dong Do owns: 2,210,000 shares (accounting for: 6.05% of the number of outstanding shares of PVC - 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Son), of which: The number of free float shares is 2,210,000 shares (accounting for 6.05% of the number of outstanding shares of PVC - 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Son).</w:t>
      </w:r>
    </w:p>
    <w:p w14:paraId="00000008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3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Number of transferred shares: 2,210,000 shares (accounting for: 6.05% of the number of outstanding shares of PVC - 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Son).</w:t>
      </w:r>
    </w:p>
    <w:p w14:paraId="00000009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41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Implementation method: Approve the Authorization Contract between the Corporation and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>-Dong Do.</w:t>
      </w:r>
    </w:p>
    <w:p w14:paraId="0000000A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Implementation expense: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-Dong Do shares the cost of hiring a consulting unit to develop and implement the plan to transfer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>-Dong Do's capital contribution at PVC-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Son.</w:t>
      </w:r>
    </w:p>
    <w:p w14:paraId="0000000B" w14:textId="6E635FF3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Other contents: Capital transfer method; Transferee; Minimum transfer price, etc. according to the content approved by the Board of Directors of the Corporation in Decision No. 125/QD-XLDK dated November 3, 2025.</w:t>
      </w:r>
    </w:p>
    <w:p w14:paraId="0000000C" w14:textId="32125DE4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‎‎Article 2. Adjust the progress of capital transfer implementation in Decision No. 125/QD-XLDK dated November 3, 2025: Complete before the effective date of Certificate of Price appraisal No. 315/2025/18/CT dated July 16, 2025 issued by KVA Auditing And Valuation Company Limited.</w:t>
      </w:r>
    </w:p>
    <w:p w14:paraId="0000000D" w14:textId="77777777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‎‎Article 3. The General Manager of the Corporation is responsible for:</w:t>
      </w:r>
    </w:p>
    <w:p w14:paraId="0000000E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 xml:space="preserve">Organizing the implementation of the Corporation's share transfer plan. </w:t>
      </w:r>
      <w:proofErr w:type="spellStart"/>
      <w:r w:rsidRPr="0007687D">
        <w:rPr>
          <w:rFonts w:ascii="Arial" w:hAnsi="Arial" w:cs="Arial"/>
          <w:color w:val="010000"/>
          <w:sz w:val="20"/>
        </w:rPr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>-Dong Do at PVC-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 according to the approved contents in Articles 1 and 2, ensuring publicity, transparency, compliance with current regulations of the Law, the Group and the Corporation. </w:t>
      </w:r>
    </w:p>
    <w:p w14:paraId="0000000F" w14:textId="77777777" w:rsidR="006C7FF9" w:rsidRPr="0007687D" w:rsidRDefault="0007687D" w:rsidP="0007687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4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Developing a plan for using cash flow after completing the divestment, report to the Board of Directors of the Corporation for approval before use.</w:t>
      </w:r>
    </w:p>
    <w:p w14:paraId="00000010" w14:textId="77777777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‎‎Article 4. This Decision takes effect from the date of its signing.</w:t>
      </w:r>
    </w:p>
    <w:p w14:paraId="00000011" w14:textId="3404578A" w:rsidR="006C7FF9" w:rsidRPr="0007687D" w:rsidRDefault="0007687D" w:rsidP="0007687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07687D">
        <w:rPr>
          <w:rFonts w:ascii="Arial" w:hAnsi="Arial" w:cs="Arial"/>
          <w:color w:val="010000"/>
          <w:sz w:val="20"/>
        </w:rPr>
        <w:t>The General Manager of the Corporation, Heads of relevant Departments/Divisions, Representatives of the Corporation's capital at PVC-</w:t>
      </w:r>
      <w:proofErr w:type="spellStart"/>
      <w:r w:rsidRPr="0007687D">
        <w:rPr>
          <w:rFonts w:ascii="Arial" w:hAnsi="Arial" w:cs="Arial"/>
          <w:color w:val="010000"/>
          <w:sz w:val="20"/>
        </w:rPr>
        <w:t>Binh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 Son, Representatives of the Corporation's capital at </w:t>
      </w:r>
      <w:proofErr w:type="spellStart"/>
      <w:r w:rsidRPr="0007687D">
        <w:rPr>
          <w:rFonts w:ascii="Arial" w:hAnsi="Arial" w:cs="Arial"/>
          <w:color w:val="010000"/>
          <w:sz w:val="20"/>
        </w:rPr>
        <w:lastRenderedPageBreak/>
        <w:t>PetroCons</w:t>
      </w:r>
      <w:proofErr w:type="spellEnd"/>
      <w:r w:rsidRPr="0007687D">
        <w:rPr>
          <w:rFonts w:ascii="Arial" w:hAnsi="Arial" w:cs="Arial"/>
          <w:color w:val="010000"/>
          <w:sz w:val="20"/>
        </w:rPr>
        <w:t xml:space="preserve">-Dong Do are responsible for implementing this Decision./. </w:t>
      </w:r>
    </w:p>
    <w:sectPr w:rsidR="006C7FF9" w:rsidRPr="0007687D" w:rsidSect="0007687D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729B22E-DD1B-4956-8573-325784E8B20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" w:fontKey="{707F73F6-CE23-460D-9116-127C3F06946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EBC36B1-9210-46B0-8AAD-D8966BA6051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B75F5"/>
    <w:multiLevelType w:val="multilevel"/>
    <w:tmpl w:val="FD5EA08C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FF9"/>
    <w:rsid w:val="0007687D"/>
    <w:rsid w:val="006C7FF9"/>
    <w:rsid w:val="00FA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F28F8"/>
  <w15:docId w15:val="{C919B981-B1A4-407B-AC0C-614F830A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Heading10">
    <w:name w:val="Heading #1_"/>
    <w:basedOn w:val="DefaultParagraphFont"/>
    <w:link w:val="Heading11"/>
    <w:rPr>
      <w:rFonts w:ascii="Times New Roman" w:eastAsia="Times New Roman" w:hAnsi="Times New Roman" w:cs="Times New Roman"/>
      <w:b/>
      <w:bCs/>
      <w:i w:val="0"/>
      <w:iCs w:val="0"/>
      <w:smallCaps/>
      <w:strike w:val="0"/>
      <w:sz w:val="28"/>
      <w:szCs w:val="28"/>
      <w:u w:val="none"/>
      <w:shd w:val="clear" w:color="auto" w:fill="auto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Heading20">
    <w:name w:val="Heading #2_"/>
    <w:basedOn w:val="DefaultParagraphFont"/>
    <w:link w:val="Heading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Bodytext20">
    <w:name w:val="Body text (2)"/>
    <w:basedOn w:val="Normal"/>
    <w:link w:val="Bodytext2"/>
    <w:pPr>
      <w:spacing w:line="252" w:lineRule="auto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ing11">
    <w:name w:val="Heading #1"/>
    <w:basedOn w:val="Normal"/>
    <w:link w:val="Heading10"/>
    <w:pPr>
      <w:spacing w:line="204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sz w:val="28"/>
      <w:szCs w:val="28"/>
    </w:rPr>
  </w:style>
  <w:style w:type="paragraph" w:styleId="BodyText">
    <w:name w:val="Body Text"/>
    <w:basedOn w:val="Normal"/>
    <w:link w:val="BodyTextChar"/>
    <w:qFormat/>
    <w:pPr>
      <w:spacing w:line="257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Heading21">
    <w:name w:val="Heading #2"/>
    <w:basedOn w:val="Normal"/>
    <w:link w:val="Heading20"/>
    <w:pPr>
      <w:spacing w:line="266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wYLUAbAHlNAsz8QTFtQsYlCHjA==">CgMxLjA4AHIhMVZlMFZBSHVpSUI4aG5OSXRZR0FxbVJOY3dGSmt0T2lW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Thi Thu Giang</dc:creator>
  <cp:lastModifiedBy>Nguyen Thi Thu Giang</cp:lastModifiedBy>
  <cp:revision>2</cp:revision>
  <dcterms:created xsi:type="dcterms:W3CDTF">2025-12-04T03:22:00Z</dcterms:created>
  <dcterms:modified xsi:type="dcterms:W3CDTF">2025-12-04T03:22:00Z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5d973d20-751c-4948-95d3-c0a122e820d2</vt:lpwstr>
  </property>
</Properties>
</file>