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9C8E4" w14:textId="3CD0BADC" w:rsidR="001A2D90" w:rsidRPr="00876F65" w:rsidRDefault="007251A0" w:rsidP="001A2D90">
      <w:pPr>
        <w:rPr>
          <w:rFonts w:ascii="Arial" w:hAnsi="Arial" w:cs="Arial"/>
          <w:sz w:val="20"/>
          <w:szCs w:val="20"/>
        </w:rPr>
      </w:pPr>
      <w:r w:rsidRPr="00876F65">
        <w:rPr>
          <w:rFonts w:ascii="Arial" w:hAnsi="Arial" w:cs="Arial"/>
          <w:sz w:val="20"/>
          <w:szCs w:val="20"/>
        </w:rPr>
        <w:t>PVX Board Resolution No 144</w:t>
      </w:r>
    </w:p>
    <w:p w14:paraId="2E9D5261" w14:textId="328AE9A6" w:rsidR="00F068F5" w:rsidRPr="00876F65" w:rsidRDefault="00F068F5" w:rsidP="001A2D90">
      <w:pPr>
        <w:rPr>
          <w:rFonts w:ascii="Arial" w:hAnsi="Arial" w:cs="Arial"/>
          <w:sz w:val="20"/>
          <w:szCs w:val="20"/>
        </w:rPr>
      </w:pPr>
      <w:r w:rsidRPr="00876F65">
        <w:rPr>
          <w:rFonts w:ascii="Arial" w:hAnsi="Arial" w:cs="Arial"/>
          <w:sz w:val="20"/>
          <w:szCs w:val="20"/>
        </w:rPr>
        <w:t xml:space="preserve">On December 23, 2025, </w:t>
      </w:r>
      <w:r w:rsidRPr="00876F65">
        <w:rPr>
          <w:rFonts w:ascii="Arial" w:hAnsi="Arial" w:cs="Arial"/>
          <w:sz w:val="20"/>
          <w:szCs w:val="20"/>
        </w:rPr>
        <w:t>Petro Vietnam Construction Joint Stock Corporation</w:t>
      </w:r>
      <w:r w:rsidRPr="00876F65">
        <w:rPr>
          <w:rFonts w:ascii="Arial" w:hAnsi="Arial" w:cs="Arial"/>
          <w:sz w:val="20"/>
          <w:szCs w:val="20"/>
        </w:rPr>
        <w:t xml:space="preserve"> announced </w:t>
      </w:r>
      <w:r w:rsidRPr="00876F65">
        <w:rPr>
          <w:rFonts w:ascii="Arial" w:hAnsi="Arial" w:cs="Arial"/>
          <w:sz w:val="20"/>
          <w:szCs w:val="20"/>
        </w:rPr>
        <w:t>Board Resolution No</w:t>
      </w:r>
      <w:r w:rsidRPr="00876F65">
        <w:rPr>
          <w:rFonts w:ascii="Arial" w:hAnsi="Arial" w:cs="Arial"/>
          <w:sz w:val="20"/>
          <w:szCs w:val="20"/>
        </w:rPr>
        <w:t>.</w:t>
      </w:r>
      <w:r w:rsidRPr="00876F65">
        <w:rPr>
          <w:rFonts w:ascii="Arial" w:hAnsi="Arial" w:cs="Arial"/>
          <w:sz w:val="20"/>
          <w:szCs w:val="20"/>
        </w:rPr>
        <w:t xml:space="preserve"> 144</w:t>
      </w:r>
      <w:r w:rsidRPr="00876F65">
        <w:rPr>
          <w:rFonts w:ascii="Arial" w:hAnsi="Arial" w:cs="Arial"/>
          <w:sz w:val="20"/>
          <w:szCs w:val="20"/>
        </w:rPr>
        <w:t xml:space="preserve">/ </w:t>
      </w:r>
      <w:r w:rsidRPr="00876F65">
        <w:rPr>
          <w:rFonts w:ascii="Arial" w:hAnsi="Arial" w:cs="Arial"/>
          <w:sz w:val="20"/>
          <w:szCs w:val="20"/>
        </w:rPr>
        <w:t>NQ-XLDK</w:t>
      </w:r>
      <w:r w:rsidRPr="00876F65">
        <w:rPr>
          <w:rFonts w:ascii="Arial" w:hAnsi="Arial" w:cs="Arial"/>
          <w:sz w:val="20"/>
          <w:szCs w:val="20"/>
        </w:rPr>
        <w:t xml:space="preserve"> on the </w:t>
      </w:r>
      <w:r w:rsidRPr="00876F65">
        <w:rPr>
          <w:rFonts w:ascii="Arial" w:hAnsi="Arial" w:cs="Arial"/>
          <w:sz w:val="20"/>
          <w:szCs w:val="20"/>
        </w:rPr>
        <w:t>pproving the Credit Line for supplementing short-term working capital, issuing guarantees, and opening L/Cs to import materials and equipment under Entrustment Contract No. 150/PVCMS - PETROCONS/H</w:t>
      </w:r>
      <w:r w:rsidR="00876F65" w:rsidRPr="00876F65">
        <w:rPr>
          <w:rFonts w:ascii="Arial" w:hAnsi="Arial" w:cs="Arial"/>
          <w:sz w:val="20"/>
          <w:szCs w:val="20"/>
        </w:rPr>
        <w:t>D</w:t>
      </w:r>
      <w:r w:rsidRPr="00876F65">
        <w:rPr>
          <w:rFonts w:ascii="Arial" w:hAnsi="Arial" w:cs="Arial"/>
          <w:sz w:val="20"/>
          <w:szCs w:val="20"/>
        </w:rPr>
        <w:t>UTNK-2025-08 between PVC-MS and PETROCONS at BIDV - Ha Dong Branch</w:t>
      </w:r>
      <w:r w:rsidRPr="00876F65">
        <w:rPr>
          <w:rFonts w:ascii="Arial" w:hAnsi="Arial" w:cs="Arial"/>
          <w:sz w:val="20"/>
          <w:szCs w:val="20"/>
        </w:rPr>
        <w:t xml:space="preserve"> as follows:</w:t>
      </w:r>
    </w:p>
    <w:p w14:paraId="2EAAC8F4" w14:textId="7019E2E7" w:rsidR="001A2D90" w:rsidRPr="00876F65" w:rsidRDefault="001A2D90" w:rsidP="001A2D90">
      <w:pPr>
        <w:rPr>
          <w:rFonts w:ascii="Arial" w:hAnsi="Arial" w:cs="Arial"/>
          <w:sz w:val="20"/>
          <w:szCs w:val="20"/>
        </w:rPr>
      </w:pPr>
      <w:r w:rsidRPr="00876F65">
        <w:rPr>
          <w:rFonts w:ascii="Arial" w:hAnsi="Arial" w:cs="Arial"/>
          <w:sz w:val="20"/>
          <w:szCs w:val="20"/>
        </w:rPr>
        <w:t>Article 1: Approve the selection of Joint Stock Commercial Bank for Investment and Development of Vietnam - Ha Dong Branch (BIDV Ha Dong) as the Bank to provide the Credit Line for supplementing short-term working capital, issuing guarantees, and opening L/Cs to import materials and equipment under Entrustment Contract No. 150/PVCMS - PETROCONs/H</w:t>
      </w:r>
      <w:r w:rsidR="00876F65" w:rsidRPr="00876F65">
        <w:rPr>
          <w:rFonts w:ascii="Arial" w:hAnsi="Arial" w:cs="Arial"/>
          <w:sz w:val="20"/>
          <w:szCs w:val="20"/>
        </w:rPr>
        <w:t>D</w:t>
      </w:r>
      <w:r w:rsidRPr="00876F65">
        <w:rPr>
          <w:rFonts w:ascii="Arial" w:hAnsi="Arial" w:cs="Arial"/>
          <w:sz w:val="20"/>
          <w:szCs w:val="20"/>
        </w:rPr>
        <w:t>UTNK-2025-08 between PVC-MS and PetroCons with the following details:</w:t>
      </w:r>
    </w:p>
    <w:p w14:paraId="42DE723F" w14:textId="24342507" w:rsidR="001A2D90" w:rsidRPr="00876F65" w:rsidRDefault="001A2D90" w:rsidP="00876F65">
      <w:pPr>
        <w:pStyle w:val="ListParagraph"/>
        <w:numPr>
          <w:ilvl w:val="0"/>
          <w:numId w:val="1"/>
        </w:numPr>
        <w:rPr>
          <w:rFonts w:ascii="Arial" w:hAnsi="Arial" w:cs="Arial"/>
          <w:sz w:val="20"/>
          <w:szCs w:val="20"/>
        </w:rPr>
      </w:pPr>
      <w:r w:rsidRPr="00876F65">
        <w:rPr>
          <w:rFonts w:ascii="Arial" w:hAnsi="Arial" w:cs="Arial"/>
          <w:sz w:val="20"/>
          <w:szCs w:val="20"/>
        </w:rPr>
        <w:t>Short-term credit line: USD41,874,320.19 (In words: Forty-one million, eight hundred seventy-four thousand, three hundred twenty US dollars and nineteen cents) or equivalent in VND at the exchange rate of USD1=VND26,000.</w:t>
      </w:r>
    </w:p>
    <w:p w14:paraId="076B93A3" w14:textId="472A1B2F" w:rsidR="001A2D90" w:rsidRPr="00876F65" w:rsidRDefault="001A2D90" w:rsidP="00876F65">
      <w:pPr>
        <w:pStyle w:val="ListParagraph"/>
        <w:numPr>
          <w:ilvl w:val="0"/>
          <w:numId w:val="1"/>
        </w:numPr>
        <w:rPr>
          <w:rFonts w:ascii="Arial" w:hAnsi="Arial" w:cs="Arial"/>
          <w:sz w:val="20"/>
          <w:szCs w:val="20"/>
        </w:rPr>
      </w:pPr>
      <w:r w:rsidRPr="00876F65">
        <w:rPr>
          <w:rFonts w:ascii="Arial" w:hAnsi="Arial" w:cs="Arial"/>
          <w:sz w:val="20"/>
          <w:szCs w:val="20"/>
        </w:rPr>
        <w:t>Purpose: To supplement short-term working capital, issue guarantees, and open L/Cs for the importation of materials and equipment serving Export Processing Order No. 3290000011 signed on June 10, 2025, between PVC-MS and MAZAGON DOCK SHIPBUILDERS LIMITED in accordance with Entrustment Contract No. 150/PVCMS-PETROCONS/H</w:t>
      </w:r>
      <w:r w:rsidR="00876F65" w:rsidRPr="00876F65">
        <w:rPr>
          <w:rFonts w:ascii="Arial" w:hAnsi="Arial" w:cs="Arial"/>
          <w:sz w:val="20"/>
          <w:szCs w:val="20"/>
        </w:rPr>
        <w:t>D</w:t>
      </w:r>
      <w:r w:rsidRPr="00876F65">
        <w:rPr>
          <w:rFonts w:ascii="Arial" w:hAnsi="Arial" w:cs="Arial"/>
          <w:sz w:val="20"/>
          <w:szCs w:val="20"/>
        </w:rPr>
        <w:t>UTNK-2025-08 dated August 12, 2025, signed between the Corporation and PVC-MS, and any attached amendments and supplements (if any).</w:t>
      </w:r>
    </w:p>
    <w:p w14:paraId="67BA5374" w14:textId="315B6F0A" w:rsidR="001A2D90" w:rsidRPr="00876F65" w:rsidRDefault="001A2D90" w:rsidP="00876F65">
      <w:pPr>
        <w:pStyle w:val="ListParagraph"/>
        <w:numPr>
          <w:ilvl w:val="0"/>
          <w:numId w:val="1"/>
        </w:numPr>
        <w:rPr>
          <w:rFonts w:ascii="Arial" w:hAnsi="Arial" w:cs="Arial"/>
          <w:sz w:val="20"/>
          <w:szCs w:val="20"/>
        </w:rPr>
      </w:pPr>
      <w:r w:rsidRPr="00876F65">
        <w:rPr>
          <w:rFonts w:ascii="Arial" w:hAnsi="Arial" w:cs="Arial"/>
          <w:sz w:val="20"/>
          <w:szCs w:val="20"/>
        </w:rPr>
        <w:t>Credit line term: Maximum until May 31, 2026.</w:t>
      </w:r>
    </w:p>
    <w:p w14:paraId="6011C263" w14:textId="354A06DA" w:rsidR="001A2D90" w:rsidRPr="00876F65" w:rsidRDefault="001A2D90" w:rsidP="00876F65">
      <w:pPr>
        <w:pStyle w:val="ListParagraph"/>
        <w:numPr>
          <w:ilvl w:val="0"/>
          <w:numId w:val="1"/>
        </w:numPr>
        <w:rPr>
          <w:rFonts w:ascii="Arial" w:hAnsi="Arial" w:cs="Arial"/>
          <w:sz w:val="20"/>
          <w:szCs w:val="20"/>
        </w:rPr>
      </w:pPr>
      <w:r w:rsidRPr="00876F65">
        <w:rPr>
          <w:rFonts w:ascii="Arial" w:hAnsi="Arial" w:cs="Arial"/>
          <w:sz w:val="20"/>
          <w:szCs w:val="20"/>
        </w:rPr>
        <w:t>Interest rates and fees: In accordance with the regulations of the Joint Stock Commercial Bank for Investment and Development of Vietnam and BIDV Ha Dong from time to time.</w:t>
      </w:r>
    </w:p>
    <w:p w14:paraId="5BEBECA4" w14:textId="00260AD9" w:rsidR="001A2D90" w:rsidRPr="00876F65" w:rsidRDefault="001A2D90" w:rsidP="00876F65">
      <w:pPr>
        <w:pStyle w:val="ListParagraph"/>
        <w:numPr>
          <w:ilvl w:val="0"/>
          <w:numId w:val="1"/>
        </w:numPr>
        <w:rPr>
          <w:rFonts w:ascii="Arial" w:hAnsi="Arial" w:cs="Arial"/>
          <w:sz w:val="20"/>
          <w:szCs w:val="20"/>
        </w:rPr>
      </w:pPr>
      <w:r w:rsidRPr="00876F65">
        <w:rPr>
          <w:rFonts w:ascii="Arial" w:hAnsi="Arial" w:cs="Arial"/>
          <w:sz w:val="20"/>
          <w:szCs w:val="20"/>
        </w:rPr>
        <w:t>Security measures and attached conditions: As per the contents of Proposal No. 178/TTr-BTG</w:t>
      </w:r>
      <w:r w:rsidR="00876F65" w:rsidRPr="00876F65">
        <w:rPr>
          <w:rFonts w:ascii="Arial" w:hAnsi="Arial" w:cs="Arial"/>
          <w:sz w:val="20"/>
          <w:szCs w:val="20"/>
        </w:rPr>
        <w:t>D</w:t>
      </w:r>
      <w:r w:rsidRPr="00876F65">
        <w:rPr>
          <w:rFonts w:ascii="Arial" w:hAnsi="Arial" w:cs="Arial"/>
          <w:sz w:val="20"/>
          <w:szCs w:val="20"/>
        </w:rPr>
        <w:t>-TCKT dated November 26, 2025, by the Corporation's General Manager.</w:t>
      </w:r>
    </w:p>
    <w:p w14:paraId="739AFCB2" w14:textId="73F5A22C" w:rsidR="001A2D90" w:rsidRPr="00876F65" w:rsidRDefault="001A2D90" w:rsidP="001A2D90">
      <w:pPr>
        <w:rPr>
          <w:rFonts w:ascii="Arial" w:hAnsi="Arial" w:cs="Arial"/>
          <w:sz w:val="20"/>
          <w:szCs w:val="20"/>
        </w:rPr>
      </w:pPr>
      <w:r w:rsidRPr="00876F65">
        <w:rPr>
          <w:rFonts w:ascii="Arial" w:hAnsi="Arial" w:cs="Arial"/>
          <w:sz w:val="20"/>
          <w:szCs w:val="20"/>
        </w:rPr>
        <w:t>Article 2: The Corporation's General Manager is responsible for:</w:t>
      </w:r>
    </w:p>
    <w:p w14:paraId="0EB3873B" w14:textId="792470D4" w:rsidR="001A2D90" w:rsidRPr="00876F65" w:rsidRDefault="001A2D90" w:rsidP="001A2D90">
      <w:pPr>
        <w:rPr>
          <w:rFonts w:ascii="Arial" w:hAnsi="Arial" w:cs="Arial"/>
          <w:sz w:val="20"/>
          <w:szCs w:val="20"/>
        </w:rPr>
      </w:pPr>
      <w:r w:rsidRPr="00876F65">
        <w:rPr>
          <w:rFonts w:ascii="Arial" w:hAnsi="Arial" w:cs="Arial"/>
          <w:sz w:val="20"/>
          <w:szCs w:val="20"/>
        </w:rPr>
        <w:t>Proactively implementing necessary procedures with BIDV Ha Dong to complete the signing of the credit line agreement, mortgage/pledge agreements, and promissory notes; and proactively utilizing the credit line as approved in Article 1, ensuring compliance with current laws, the Corporation's internal regulations, and other relevant provisions.</w:t>
      </w:r>
    </w:p>
    <w:p w14:paraId="71F10AE5" w14:textId="1D810188" w:rsidR="001A2D90" w:rsidRPr="00876F65" w:rsidRDefault="001A2D90" w:rsidP="001A2D90">
      <w:pPr>
        <w:rPr>
          <w:rFonts w:ascii="Arial" w:hAnsi="Arial" w:cs="Arial"/>
          <w:sz w:val="20"/>
          <w:szCs w:val="20"/>
        </w:rPr>
      </w:pPr>
      <w:r w:rsidRPr="00876F65">
        <w:rPr>
          <w:rFonts w:ascii="Arial" w:hAnsi="Arial" w:cs="Arial"/>
          <w:sz w:val="20"/>
          <w:szCs w:val="20"/>
        </w:rPr>
        <w:t>Balancing the Corporation's cash flow at each period to ensure maximum economic efficiency, preventing unnecessary costs, and avoiding negative impacts on cash flow for general production and business activities or other projects/contracts of the Corporation.</w:t>
      </w:r>
    </w:p>
    <w:p w14:paraId="5DBF4BDC" w14:textId="7A83632F" w:rsidR="001A2D90" w:rsidRPr="00876F65" w:rsidRDefault="001A2D90" w:rsidP="001A2D90">
      <w:pPr>
        <w:rPr>
          <w:rFonts w:ascii="Arial" w:hAnsi="Arial" w:cs="Arial"/>
          <w:sz w:val="20"/>
          <w:szCs w:val="20"/>
        </w:rPr>
      </w:pPr>
      <w:r w:rsidRPr="00876F65">
        <w:rPr>
          <w:rFonts w:ascii="Arial" w:hAnsi="Arial" w:cs="Arial"/>
          <w:sz w:val="20"/>
          <w:szCs w:val="20"/>
        </w:rPr>
        <w:t>Reporting the results and economic efficiency of credit activities with BIDV Ha Dong related to the credit line approved in this Resolution to the Corporation's Board of Directors.</w:t>
      </w:r>
    </w:p>
    <w:p w14:paraId="13F5688A" w14:textId="59D3BD59" w:rsidR="001A2D90" w:rsidRPr="00876F65" w:rsidRDefault="001A2D90" w:rsidP="001A2D90">
      <w:pPr>
        <w:rPr>
          <w:rFonts w:ascii="Arial" w:hAnsi="Arial" w:cs="Arial"/>
          <w:sz w:val="20"/>
          <w:szCs w:val="20"/>
        </w:rPr>
      </w:pPr>
      <w:r w:rsidRPr="00876F65">
        <w:rPr>
          <w:rFonts w:ascii="Arial" w:hAnsi="Arial" w:cs="Arial"/>
          <w:sz w:val="20"/>
          <w:szCs w:val="20"/>
        </w:rPr>
        <w:t>Directing specialized departments and the Corporation's Capital Representative at PVC-MS to strictly implement the Board of Directors' requirements in Resolutions, Decisions, and documents related to Export Processing Order No. 3290000011 and Entrustment Contract No. 150/PVCMS-PETROCONS/H</w:t>
      </w:r>
      <w:r w:rsidR="00876F65" w:rsidRPr="00876F65">
        <w:rPr>
          <w:rFonts w:ascii="Arial" w:hAnsi="Arial" w:cs="Arial"/>
          <w:sz w:val="20"/>
          <w:szCs w:val="20"/>
        </w:rPr>
        <w:t>D</w:t>
      </w:r>
      <w:r w:rsidRPr="00876F65">
        <w:rPr>
          <w:rFonts w:ascii="Arial" w:hAnsi="Arial" w:cs="Arial"/>
          <w:sz w:val="20"/>
          <w:szCs w:val="20"/>
        </w:rPr>
        <w:t>UTNK-2025-08.</w:t>
      </w:r>
    </w:p>
    <w:p w14:paraId="2DEADB49" w14:textId="48B82BC8" w:rsidR="00956308" w:rsidRPr="00876F65" w:rsidRDefault="001A2D90" w:rsidP="001A2D90">
      <w:pPr>
        <w:rPr>
          <w:rFonts w:ascii="Arial" w:hAnsi="Arial" w:cs="Arial"/>
          <w:sz w:val="20"/>
          <w:szCs w:val="20"/>
        </w:rPr>
      </w:pPr>
      <w:r w:rsidRPr="00876F65">
        <w:rPr>
          <w:rFonts w:ascii="Arial" w:hAnsi="Arial" w:cs="Arial"/>
          <w:sz w:val="20"/>
          <w:szCs w:val="20"/>
        </w:rPr>
        <w:t>Article 3: This Resolution takes effect from the date of its signing. The General Manager and Heads of the Corporation's functional Departments/Boards are responsible for implementing this Resolution./.</w:t>
      </w:r>
    </w:p>
    <w:sectPr w:rsidR="00956308" w:rsidRPr="00876F65" w:rsidSect="001D769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E5E54"/>
    <w:multiLevelType w:val="hybridMultilevel"/>
    <w:tmpl w:val="07082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0"/>
    <w:rsid w:val="001A2D90"/>
    <w:rsid w:val="001D7696"/>
    <w:rsid w:val="007251A0"/>
    <w:rsid w:val="00876F65"/>
    <w:rsid w:val="00956308"/>
    <w:rsid w:val="00F06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55490"/>
  <w15:chartTrackingRefBased/>
  <w15:docId w15:val="{6F3856C9-52AD-45C5-99F5-DA76019B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20" w:line="32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F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2025-12-28T08:50:00Z</dcterms:created>
  <dcterms:modified xsi:type="dcterms:W3CDTF">2025-12-28T09:23:00Z</dcterms:modified>
</cp:coreProperties>
</file>