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C913D2">
        <w:rPr>
          <w:rFonts w:ascii="Arial" w:hAnsi="Arial" w:cs="Arial"/>
          <w:b/>
          <w:color w:val="010000"/>
          <w:sz w:val="20"/>
        </w:rPr>
        <w:t>GLC: Annual Corporate Governance Report 2025</w:t>
      </w:r>
    </w:p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On January 29, 2026, Lao </w:t>
      </w:r>
      <w:proofErr w:type="spellStart"/>
      <w:r w:rsidRPr="00C913D2">
        <w:rPr>
          <w:rFonts w:ascii="Arial" w:hAnsi="Arial" w:cs="Arial"/>
          <w:color w:val="010000"/>
          <w:sz w:val="20"/>
        </w:rPr>
        <w:t>Cai</w:t>
      </w:r>
      <w:proofErr w:type="spellEnd"/>
      <w:r w:rsidRPr="00C913D2">
        <w:rPr>
          <w:rFonts w:ascii="Arial" w:hAnsi="Arial" w:cs="Arial"/>
          <w:color w:val="010000"/>
          <w:sz w:val="20"/>
        </w:rPr>
        <w:t xml:space="preserve"> Gold Joint Stock Company announced Report No. 01/2026/BC-VLC on the corporate governance in 2025 as follows: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Name of company: Lao </w:t>
      </w:r>
      <w:proofErr w:type="spellStart"/>
      <w:r w:rsidRPr="00C913D2">
        <w:rPr>
          <w:rFonts w:ascii="Arial" w:hAnsi="Arial" w:cs="Arial"/>
          <w:color w:val="010000"/>
          <w:sz w:val="20"/>
        </w:rPr>
        <w:t>Cai</w:t>
      </w:r>
      <w:proofErr w:type="spellEnd"/>
      <w:r w:rsidRPr="00C913D2">
        <w:rPr>
          <w:rFonts w:ascii="Arial" w:hAnsi="Arial" w:cs="Arial"/>
          <w:color w:val="010000"/>
          <w:sz w:val="20"/>
        </w:rPr>
        <w:t xml:space="preserve"> Gold Joint Stock Company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Headquarters’ address: Village 3, Minh Ha, Minh Luong Commune, Lao </w:t>
      </w:r>
      <w:proofErr w:type="spellStart"/>
      <w:r w:rsidRPr="00C913D2">
        <w:rPr>
          <w:rFonts w:ascii="Arial" w:hAnsi="Arial" w:cs="Arial"/>
          <w:color w:val="010000"/>
          <w:sz w:val="20"/>
        </w:rPr>
        <w:t>Cai</w:t>
      </w:r>
      <w:proofErr w:type="spellEnd"/>
      <w:r w:rsidRPr="00C913D2">
        <w:rPr>
          <w:rFonts w:ascii="Arial" w:hAnsi="Arial" w:cs="Arial"/>
          <w:color w:val="010000"/>
          <w:sz w:val="20"/>
        </w:rPr>
        <w:t xml:space="preserve"> Province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67"/>
          <w:tab w:val="left" w:pos="644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Tel: 0214.3835565 Fax: 0214.3835565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67"/>
          <w:tab w:val="left" w:pos="644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Website: http://vanglaocai.com.vn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Charter capital: VND105,000,000,000 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Securities code: GLC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6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Corporate Governance Model: Joint-Stock Company</w:t>
      </w:r>
    </w:p>
    <w:p w:rsidR="001C1DD3" w:rsidRPr="00C913D2" w:rsidRDefault="00C913D2" w:rsidP="00EB5B6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The </w:t>
      </w:r>
      <w:r w:rsidR="00EB5B64">
        <w:rPr>
          <w:rFonts w:ascii="Arial" w:hAnsi="Arial" w:cs="Arial"/>
          <w:color w:val="010000"/>
          <w:sz w:val="20"/>
        </w:rPr>
        <w:t>General Meeting</w:t>
      </w:r>
      <w:r w:rsidRPr="00C913D2">
        <w:rPr>
          <w:rFonts w:ascii="Arial" w:hAnsi="Arial" w:cs="Arial"/>
          <w:color w:val="010000"/>
          <w:sz w:val="20"/>
        </w:rPr>
        <w:t>, the Board of Directors</w:t>
      </w:r>
      <w:r w:rsidR="00EB5B64">
        <w:rPr>
          <w:rFonts w:ascii="Arial" w:hAnsi="Arial" w:cs="Arial"/>
          <w:color w:val="010000"/>
          <w:sz w:val="20"/>
        </w:rPr>
        <w:t>, Supervisory Board, and</w:t>
      </w:r>
      <w:r w:rsidRPr="00C913D2">
        <w:rPr>
          <w:rFonts w:ascii="Arial" w:hAnsi="Arial" w:cs="Arial"/>
          <w:color w:val="010000"/>
          <w:sz w:val="20"/>
        </w:rPr>
        <w:t xml:space="preserve"> </w:t>
      </w:r>
      <w:r w:rsidR="00EB5B64">
        <w:rPr>
          <w:rFonts w:ascii="Arial" w:hAnsi="Arial" w:cs="Arial"/>
          <w:color w:val="010000"/>
          <w:sz w:val="20"/>
        </w:rPr>
        <w:t>Managing Director/management</w:t>
      </w:r>
      <w:r w:rsidRPr="00C913D2">
        <w:rPr>
          <w:rFonts w:ascii="Arial" w:hAnsi="Arial" w:cs="Arial"/>
          <w:color w:val="010000"/>
          <w:sz w:val="20"/>
        </w:rPr>
        <w:t>.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On the implementation of internal audit functions: Executed.</w:t>
      </w:r>
    </w:p>
    <w:p w:rsidR="001C1DD3" w:rsidRPr="00C913D2" w:rsidRDefault="00C913D2" w:rsidP="00EB5B6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3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Activities of the </w:t>
      </w:r>
      <w:r w:rsidR="00EB5B64">
        <w:rPr>
          <w:rFonts w:ascii="Arial" w:hAnsi="Arial" w:cs="Arial"/>
          <w:color w:val="010000"/>
          <w:sz w:val="20"/>
        </w:rPr>
        <w:t>General Meeting</w:t>
      </w:r>
      <w:r w:rsidRPr="00C913D2">
        <w:rPr>
          <w:rFonts w:ascii="Arial" w:hAnsi="Arial" w:cs="Arial"/>
          <w:color w:val="010000"/>
          <w:sz w:val="20"/>
        </w:rPr>
        <w:t>:</w:t>
      </w:r>
    </w:p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Information on Meetings and the General Mandate/Decisions of the </w:t>
      </w:r>
      <w:r w:rsidR="00EB5B64">
        <w:rPr>
          <w:rFonts w:ascii="Arial" w:hAnsi="Arial" w:cs="Arial"/>
          <w:color w:val="010000"/>
          <w:sz w:val="20"/>
        </w:rPr>
        <w:t>General Meeting</w:t>
      </w:r>
      <w:r w:rsidRPr="00C913D2">
        <w:rPr>
          <w:rFonts w:ascii="Arial" w:hAnsi="Arial" w:cs="Arial"/>
          <w:color w:val="010000"/>
          <w:sz w:val="20"/>
        </w:rPr>
        <w:t xml:space="preserve"> (including the General Mandates approved in the form of collecting </w:t>
      </w:r>
      <w:r w:rsidR="00EB5B64">
        <w:rPr>
          <w:rFonts w:ascii="Arial" w:hAnsi="Arial" w:cs="Arial"/>
          <w:color w:val="010000"/>
          <w:sz w:val="20"/>
        </w:rPr>
        <w:t>ballots</w:t>
      </w:r>
      <w:r w:rsidRPr="00C913D2">
        <w:rPr>
          <w:rFonts w:ascii="Arial" w:hAnsi="Arial" w:cs="Arial"/>
          <w:color w:val="010000"/>
          <w:sz w:val="20"/>
        </w:rPr>
        <w:t>)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11"/>
        <w:gridCol w:w="2788"/>
        <w:gridCol w:w="1612"/>
        <w:gridCol w:w="3906"/>
      </w:tblGrid>
      <w:tr w:rsidR="001C1DD3" w:rsidRPr="00C913D2" w:rsidTr="00C913D2">
        <w:tc>
          <w:tcPr>
            <w:tcW w:w="39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546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General Mandate/Decision of the </w:t>
            </w:r>
            <w:r w:rsidR="00EB5B64">
              <w:rPr>
                <w:rFonts w:ascii="Arial" w:hAnsi="Arial" w:cs="Arial"/>
                <w:color w:val="010000"/>
                <w:sz w:val="20"/>
              </w:rPr>
              <w:t>General Meeting</w:t>
            </w:r>
          </w:p>
        </w:tc>
        <w:tc>
          <w:tcPr>
            <w:tcW w:w="89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166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</w:tr>
      <w:tr w:rsidR="001C1DD3" w:rsidRPr="00C913D2" w:rsidTr="00C913D2">
        <w:tc>
          <w:tcPr>
            <w:tcW w:w="39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546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01/2025/NQ-DHDCD</w:t>
            </w:r>
          </w:p>
        </w:tc>
        <w:tc>
          <w:tcPr>
            <w:tcW w:w="89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  <w:tc>
          <w:tcPr>
            <w:tcW w:w="2166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Annual General Mandate 2025</w:t>
            </w:r>
          </w:p>
        </w:tc>
      </w:tr>
    </w:tbl>
    <w:p w:rsidR="001C1DD3" w:rsidRPr="00C913D2" w:rsidRDefault="00EB5B64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II. </w:t>
      </w:r>
      <w:r w:rsidR="00C913D2" w:rsidRPr="00C913D2">
        <w:rPr>
          <w:rFonts w:ascii="Arial" w:hAnsi="Arial" w:cs="Arial"/>
          <w:color w:val="010000"/>
          <w:sz w:val="20"/>
        </w:rPr>
        <w:t>Board of Directors (Annual Report)</w:t>
      </w:r>
    </w:p>
    <w:p w:rsidR="001C1DD3" w:rsidRPr="00C913D2" w:rsidRDefault="00C913D2" w:rsidP="00EB5B6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3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Information about members of the Board of Directors</w:t>
      </w:r>
    </w:p>
    <w:tbl>
      <w:tblPr>
        <w:tblStyle w:val="a0"/>
        <w:tblW w:w="5000" w:type="pct"/>
        <w:tblLook w:val="0000" w:firstRow="0" w:lastRow="0" w:firstColumn="0" w:lastColumn="0" w:noHBand="0" w:noVBand="0"/>
      </w:tblPr>
      <w:tblGrid>
        <w:gridCol w:w="557"/>
        <w:gridCol w:w="2509"/>
        <w:gridCol w:w="1951"/>
        <w:gridCol w:w="2110"/>
        <w:gridCol w:w="1890"/>
      </w:tblGrid>
      <w:tr w:rsidR="001C1DD3" w:rsidRPr="00C913D2" w:rsidTr="00C913D2">
        <w:tc>
          <w:tcPr>
            <w:tcW w:w="309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91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 of the Board of Directors</w:t>
            </w:r>
          </w:p>
        </w:tc>
        <w:tc>
          <w:tcPr>
            <w:tcW w:w="1082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Position (independent member of the Board of Directors, non-executive member of the Board of Directors)) </w:t>
            </w:r>
          </w:p>
        </w:tc>
        <w:tc>
          <w:tcPr>
            <w:tcW w:w="2218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appointment/dismissal as member/independent member of the Board of Directors</w:t>
            </w:r>
          </w:p>
        </w:tc>
      </w:tr>
      <w:tr w:rsidR="001C1DD3" w:rsidRPr="00C913D2" w:rsidTr="00C913D2">
        <w:tc>
          <w:tcPr>
            <w:tcW w:w="309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1C1DD3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391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1C1DD3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082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1C1DD3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appointment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dismissal</w:t>
            </w:r>
          </w:p>
        </w:tc>
      </w:tr>
      <w:tr w:rsidR="001C1DD3" w:rsidRPr="00C913D2" w:rsidTr="00C913D2">
        <w:tc>
          <w:tcPr>
            <w:tcW w:w="309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Mr. Tran Quang Dang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Chair</w:t>
            </w: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December 02, 2024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Incumbent</w:t>
            </w:r>
          </w:p>
        </w:tc>
      </w:tr>
      <w:tr w:rsidR="001C1DD3" w:rsidRPr="00C913D2" w:rsidTr="00C913D2">
        <w:tc>
          <w:tcPr>
            <w:tcW w:w="309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Ms. Nguyen Thi Huyen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December 02, </w:t>
            </w:r>
            <w:r w:rsidR="00EB5B64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</w:tr>
      <w:tr w:rsidR="001C1DD3" w:rsidRPr="00C913D2" w:rsidTr="00C913D2">
        <w:tc>
          <w:tcPr>
            <w:tcW w:w="309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Pham Thi Thu Nguyet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December 02, 2024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</w:tr>
      <w:tr w:rsidR="001C1DD3" w:rsidRPr="00C913D2" w:rsidTr="00C913D2">
        <w:tc>
          <w:tcPr>
            <w:tcW w:w="309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Nguyen Tien Dat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Incumbent</w:t>
            </w:r>
          </w:p>
        </w:tc>
      </w:tr>
      <w:tr w:rsidR="001C1DD3" w:rsidRPr="00C913D2" w:rsidTr="00C913D2"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Ngo Duc Son</w:t>
            </w:r>
          </w:p>
        </w:tc>
        <w:tc>
          <w:tcPr>
            <w:tcW w:w="10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Incumbent</w:t>
            </w:r>
          </w:p>
        </w:tc>
      </w:tr>
    </w:tbl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lastRenderedPageBreak/>
        <w:t>5. Board Resolutions/Decisions: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Resolution No. 01/2025/NQ-HDQT dated April 14, 2025.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Decision No. 02/2025/QD-HDQT dated April 21, 2025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Decision No. 03/2025/QD-HDQT dated April 22, 2025</w:t>
      </w:r>
    </w:p>
    <w:p w:rsidR="001C1DD3" w:rsidRPr="00C913D2" w:rsidRDefault="00C913D2" w:rsidP="00EB5B6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5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Resolution No. 04/2025/NQ-HDQT dated June 17, 2025.</w:t>
      </w:r>
    </w:p>
    <w:p w:rsidR="001C1DD3" w:rsidRPr="00C913D2" w:rsidRDefault="00EB5B64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III. </w:t>
      </w:r>
      <w:r w:rsidR="00C913D2" w:rsidRPr="00C913D2">
        <w:rPr>
          <w:rFonts w:ascii="Arial" w:hAnsi="Arial" w:cs="Arial"/>
          <w:color w:val="010000"/>
          <w:sz w:val="20"/>
        </w:rPr>
        <w:t>Supervisory Board/Audit Committee (Annual Report)</w:t>
      </w:r>
    </w:p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1. Information about members of the Supervisory Board/Audit Committee: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1"/>
        <w:gridCol w:w="2849"/>
        <w:gridCol w:w="1531"/>
        <w:gridCol w:w="2191"/>
        <w:gridCol w:w="1885"/>
      </w:tblGrid>
      <w:tr w:rsidR="001C1DD3" w:rsidRPr="00C913D2" w:rsidTr="00C913D2">
        <w:tc>
          <w:tcPr>
            <w:tcW w:w="311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Members of the Supervisory Board/Audit Committee 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appointment/dismissal as member of the Supervisory/the Audit Committee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</w:tr>
      <w:tr w:rsidR="001C1DD3" w:rsidRPr="00C913D2" w:rsidTr="00C913D2">
        <w:tc>
          <w:tcPr>
            <w:tcW w:w="311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Mr. Nguyen Tien Dat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Chief of the Supervisory Board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Dismissed on June 16, 2025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</w:tr>
      <w:tr w:rsidR="001C1DD3" w:rsidRPr="00C913D2" w:rsidTr="00C913D2">
        <w:tc>
          <w:tcPr>
            <w:tcW w:w="311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Mr. Tran Pham Tuan Anh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July 25, 2024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Bachelor of Business Administration</w:t>
            </w:r>
          </w:p>
        </w:tc>
      </w:tr>
      <w:tr w:rsidR="001C1DD3" w:rsidRPr="00C913D2" w:rsidTr="00C913D2">
        <w:tc>
          <w:tcPr>
            <w:tcW w:w="311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Ms. Nguyen Huyen Trang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July 25, 2024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</w:tr>
      <w:tr w:rsidR="001C1DD3" w:rsidRPr="00C913D2" w:rsidTr="00C913D2">
        <w:tc>
          <w:tcPr>
            <w:tcW w:w="311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5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Ms. Tran Thi Thu Ha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Chief of the Supervisory Board</w:t>
            </w:r>
          </w:p>
        </w:tc>
        <w:tc>
          <w:tcPr>
            <w:tcW w:w="1215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18, 2025</w:t>
            </w:r>
          </w:p>
        </w:tc>
        <w:tc>
          <w:tcPr>
            <w:tcW w:w="1045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</w:tr>
    </w:tbl>
    <w:p w:rsidR="001C1DD3" w:rsidRPr="00C913D2" w:rsidRDefault="00EB5B64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IV. </w:t>
      </w:r>
      <w:r w:rsidR="00C913D2" w:rsidRPr="00C913D2">
        <w:rPr>
          <w:rFonts w:ascii="Arial" w:hAnsi="Arial" w:cs="Arial"/>
          <w:color w:val="010000"/>
          <w:sz w:val="20"/>
        </w:rPr>
        <w:t>Executive Board</w:t>
      </w:r>
    </w:p>
    <w:tbl>
      <w:tblPr>
        <w:tblStyle w:val="a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02"/>
        <w:gridCol w:w="2600"/>
        <w:gridCol w:w="1491"/>
        <w:gridCol w:w="2125"/>
        <w:gridCol w:w="1999"/>
      </w:tblGrid>
      <w:tr w:rsidR="001C1DD3" w:rsidRPr="00C913D2" w:rsidTr="00C913D2">
        <w:tc>
          <w:tcPr>
            <w:tcW w:w="4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44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Members of the Executive Board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10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appointment/dismissal as member of the Executive Board/</w:t>
            </w:r>
          </w:p>
        </w:tc>
      </w:tr>
      <w:tr w:rsidR="001C1DD3" w:rsidRPr="00C913D2" w:rsidTr="00C913D2">
        <w:tc>
          <w:tcPr>
            <w:tcW w:w="4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444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Ms. Nguyen Thi Huyen – Managing Director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October 09, 1981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Bachelor in 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>Accounting</w:t>
            </w:r>
          </w:p>
        </w:tc>
        <w:tc>
          <w:tcPr>
            <w:tcW w:w="110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Dismissed on June 16, 2025</w:t>
            </w:r>
          </w:p>
        </w:tc>
      </w:tr>
      <w:tr w:rsidR="001C1DD3" w:rsidRPr="00C913D2" w:rsidTr="00C913D2">
        <w:tc>
          <w:tcPr>
            <w:tcW w:w="4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444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Mr</w:t>
            </w:r>
            <w:r w:rsidR="00EB5B64">
              <w:rPr>
                <w:rFonts w:ascii="Arial" w:hAnsi="Arial" w:cs="Arial"/>
                <w:color w:val="010000"/>
                <w:sz w:val="20"/>
              </w:rPr>
              <w:t>. Le Dinh Quang - Deputy Managing Director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December 27, 1983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College of Information Technology</w:t>
            </w:r>
          </w:p>
        </w:tc>
        <w:tc>
          <w:tcPr>
            <w:tcW w:w="1100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December 26, 2024</w:t>
            </w:r>
          </w:p>
        </w:tc>
      </w:tr>
      <w:tr w:rsidR="001C1DD3" w:rsidRPr="00C913D2" w:rsidTr="00C913D2">
        <w:tc>
          <w:tcPr>
            <w:tcW w:w="4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444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Mr. Nguyen Tien Dat – Managing Director</w:t>
            </w:r>
          </w:p>
        </w:tc>
        <w:tc>
          <w:tcPr>
            <w:tcW w:w="829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February 28, 1991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  <w:tc>
          <w:tcPr>
            <w:tcW w:w="110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June 16, 2025</w:t>
            </w:r>
          </w:p>
        </w:tc>
      </w:tr>
    </w:tbl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V. The Chief Accountant</w:t>
      </w:r>
    </w:p>
    <w:tbl>
      <w:tblPr>
        <w:tblStyle w:val="a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151"/>
        <w:gridCol w:w="1785"/>
        <w:gridCol w:w="1809"/>
        <w:gridCol w:w="2272"/>
      </w:tblGrid>
      <w:tr w:rsidR="001C1DD3" w:rsidRPr="00C913D2" w:rsidTr="00EB5B64">
        <w:tc>
          <w:tcPr>
            <w:tcW w:w="17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lastRenderedPageBreak/>
              <w:t>Full name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26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Appointment /dismissal date</w:t>
            </w:r>
          </w:p>
        </w:tc>
      </w:tr>
      <w:tr w:rsidR="001C1DD3" w:rsidRPr="00C913D2" w:rsidTr="00EB5B64">
        <w:tc>
          <w:tcPr>
            <w:tcW w:w="17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Ms. Nguyen Thi Thanh Huyen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May 28, 1982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1C1DD3" w:rsidRPr="00C913D2" w:rsidRDefault="00EB5B64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C913D2" w:rsidRPr="00C913D2">
              <w:rPr>
                <w:rFonts w:ascii="Arial" w:hAnsi="Arial" w:cs="Arial"/>
                <w:color w:val="010000"/>
                <w:sz w:val="20"/>
              </w:rPr>
              <w:t xml:space="preserve"> Accounting</w:t>
            </w:r>
          </w:p>
        </w:tc>
        <w:tc>
          <w:tcPr>
            <w:tcW w:w="126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February 18, 2025</w:t>
            </w:r>
          </w:p>
        </w:tc>
      </w:tr>
      <w:tr w:rsidR="001C1DD3" w:rsidRPr="00C913D2" w:rsidTr="00EB5B64">
        <w:tc>
          <w:tcPr>
            <w:tcW w:w="1747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 xml:space="preserve">Ms. Hoang Thi </w:t>
            </w:r>
            <w:proofErr w:type="spellStart"/>
            <w:r w:rsidRPr="00C913D2">
              <w:rPr>
                <w:rFonts w:ascii="Arial" w:hAnsi="Arial" w:cs="Arial"/>
                <w:color w:val="010000"/>
                <w:sz w:val="20"/>
              </w:rPr>
              <w:t>Niet</w:t>
            </w:r>
            <w:proofErr w:type="spellEnd"/>
          </w:p>
        </w:tc>
        <w:tc>
          <w:tcPr>
            <w:tcW w:w="990" w:type="pct"/>
            <w:shd w:val="clear" w:color="auto" w:fill="auto"/>
            <w:vAlign w:val="center"/>
          </w:tcPr>
          <w:p w:rsidR="001C1DD3" w:rsidRPr="00C913D2" w:rsidRDefault="001C1DD3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003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Accounting College</w:t>
            </w:r>
          </w:p>
        </w:tc>
        <w:tc>
          <w:tcPr>
            <w:tcW w:w="1260" w:type="pct"/>
            <w:shd w:val="clear" w:color="auto" w:fill="auto"/>
            <w:vAlign w:val="center"/>
          </w:tcPr>
          <w:p w:rsidR="001C1DD3" w:rsidRPr="00C913D2" w:rsidRDefault="00C913D2" w:rsidP="00EB5B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913D2">
              <w:rPr>
                <w:rFonts w:ascii="Arial" w:hAnsi="Arial" w:cs="Arial"/>
                <w:color w:val="010000"/>
                <w:sz w:val="20"/>
              </w:rPr>
              <w:t>Dismissed on February 18, 2025</w:t>
            </w:r>
          </w:p>
        </w:tc>
      </w:tr>
    </w:tbl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VI Training on corporate governance</w:t>
      </w:r>
    </w:p>
    <w:p w:rsidR="001C1DD3" w:rsidRPr="00C913D2" w:rsidRDefault="00C913D2" w:rsidP="00EB5B6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52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List of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the public company (Annual report) and transactions between the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the Company and the Company itself:</w:t>
      </w:r>
    </w:p>
    <w:p w:rsidR="001C1DD3" w:rsidRPr="00C913D2" w:rsidRDefault="00C913D2" w:rsidP="00EB5B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2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Transactions between the Company and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the Company </w:t>
      </w:r>
      <w:r w:rsidR="00EB5B64">
        <w:rPr>
          <w:rFonts w:ascii="Arial" w:hAnsi="Arial" w:cs="Arial"/>
          <w:color w:val="010000"/>
          <w:sz w:val="20"/>
        </w:rPr>
        <w:t>or between the Company and principal</w:t>
      </w:r>
      <w:r w:rsidRPr="00C913D2">
        <w:rPr>
          <w:rFonts w:ascii="Arial" w:hAnsi="Arial" w:cs="Arial"/>
          <w:color w:val="010000"/>
          <w:sz w:val="20"/>
        </w:rPr>
        <w:t xml:space="preserve"> shareholders, PDMR and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PDMR: None.</w:t>
      </w:r>
    </w:p>
    <w:p w:rsidR="001C1DD3" w:rsidRPr="00C913D2" w:rsidRDefault="00C913D2" w:rsidP="00EB5B64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Notes: Owner’s Certificate No. *: ID Card/Passport No. (for individuals) or Bus</w:t>
      </w:r>
      <w:r w:rsidR="00EB5B64">
        <w:rPr>
          <w:rFonts w:ascii="Arial" w:hAnsi="Arial" w:cs="Arial"/>
          <w:color w:val="010000"/>
          <w:sz w:val="20"/>
        </w:rPr>
        <w:t xml:space="preserve">iness Registration Certificate License on Operations </w:t>
      </w:r>
      <w:r w:rsidRPr="00C913D2">
        <w:rPr>
          <w:rFonts w:ascii="Arial" w:hAnsi="Arial" w:cs="Arial"/>
          <w:color w:val="010000"/>
          <w:sz w:val="20"/>
        </w:rPr>
        <w:t>or equivalent legal documents (for institutions)</w:t>
      </w:r>
    </w:p>
    <w:p w:rsidR="001C1DD3" w:rsidRPr="00C913D2" w:rsidRDefault="00C913D2" w:rsidP="00EB5B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33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Transactions between the Company’s PDMR,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PDMR and subsidiaries, the companies controlled by the Company: None.</w:t>
      </w:r>
    </w:p>
    <w:p w:rsidR="001C1DD3" w:rsidRPr="00C913D2" w:rsidRDefault="00C913D2" w:rsidP="00EB5B6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3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Transactions between the Company and other entities: None.</w:t>
      </w:r>
    </w:p>
    <w:p w:rsidR="001C1DD3" w:rsidRPr="00C913D2" w:rsidRDefault="00C913D2" w:rsidP="00EB5B6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43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Transactions between the Company and the companies where members of the Board of Directors, membe</w:t>
      </w:r>
      <w:r w:rsidR="00EB5B64">
        <w:rPr>
          <w:rFonts w:ascii="Arial" w:hAnsi="Arial" w:cs="Arial"/>
          <w:color w:val="010000"/>
          <w:sz w:val="20"/>
        </w:rPr>
        <w:t>rs of the Supervisory Board, Executive Manager (Managing Director</w:t>
      </w:r>
      <w:r w:rsidRPr="00C913D2">
        <w:rPr>
          <w:rFonts w:ascii="Arial" w:hAnsi="Arial" w:cs="Arial"/>
          <w:color w:val="010000"/>
          <w:sz w:val="20"/>
        </w:rPr>
        <w:t xml:space="preserve">) and other managers </w:t>
      </w:r>
      <w:r w:rsidR="00EB5B64">
        <w:rPr>
          <w:rFonts w:ascii="Arial" w:hAnsi="Arial" w:cs="Arial"/>
          <w:color w:val="010000"/>
          <w:sz w:val="20"/>
        </w:rPr>
        <w:t xml:space="preserve">who </w:t>
      </w:r>
      <w:r w:rsidRPr="00C913D2">
        <w:rPr>
          <w:rFonts w:ascii="Arial" w:hAnsi="Arial" w:cs="Arial"/>
          <w:color w:val="010000"/>
          <w:sz w:val="20"/>
        </w:rPr>
        <w:t xml:space="preserve">have been founding members or members </w:t>
      </w:r>
      <w:r w:rsidR="00EB5B64">
        <w:rPr>
          <w:rFonts w:ascii="Arial" w:hAnsi="Arial" w:cs="Arial"/>
          <w:color w:val="010000"/>
          <w:sz w:val="20"/>
        </w:rPr>
        <w:t>of the Board of Directors or</w:t>
      </w:r>
      <w:r w:rsidRPr="00C913D2">
        <w:rPr>
          <w:rFonts w:ascii="Arial" w:hAnsi="Arial" w:cs="Arial"/>
          <w:color w:val="010000"/>
          <w:sz w:val="20"/>
        </w:rPr>
        <w:t xml:space="preserve"> Executive Manager (</w:t>
      </w:r>
      <w:r w:rsidR="00EB5B64">
        <w:rPr>
          <w:rFonts w:ascii="Arial" w:hAnsi="Arial" w:cs="Arial"/>
          <w:color w:val="010000"/>
          <w:sz w:val="20"/>
        </w:rPr>
        <w:t>Managing Director</w:t>
      </w:r>
      <w:r w:rsidRPr="00C913D2">
        <w:rPr>
          <w:rFonts w:ascii="Arial" w:hAnsi="Arial" w:cs="Arial"/>
          <w:color w:val="010000"/>
          <w:sz w:val="20"/>
        </w:rPr>
        <w:t xml:space="preserve">) for the past three (03) years (as at the </w:t>
      </w:r>
      <w:r w:rsidR="00EB5B64">
        <w:rPr>
          <w:rFonts w:ascii="Arial" w:hAnsi="Arial" w:cs="Arial"/>
          <w:color w:val="010000"/>
          <w:sz w:val="20"/>
        </w:rPr>
        <w:t>date</w:t>
      </w:r>
      <w:r w:rsidRPr="00C913D2">
        <w:rPr>
          <w:rFonts w:ascii="Arial" w:hAnsi="Arial" w:cs="Arial"/>
          <w:color w:val="010000"/>
          <w:sz w:val="20"/>
        </w:rPr>
        <w:t xml:space="preserve"> of reporting) None</w:t>
      </w:r>
    </w:p>
    <w:p w:rsidR="001C1DD3" w:rsidRPr="00C913D2" w:rsidRDefault="00C913D2" w:rsidP="00EB5B6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459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Transactions between the Company and companies in which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members of the Board of Directors, members of the Supervisory Board, </w:t>
      </w:r>
      <w:r w:rsidR="00EB5B64">
        <w:rPr>
          <w:rFonts w:ascii="Arial" w:hAnsi="Arial" w:cs="Arial"/>
          <w:color w:val="010000"/>
          <w:sz w:val="20"/>
        </w:rPr>
        <w:t>Executive Manager (Managing Director</w:t>
      </w:r>
      <w:r w:rsidRPr="00C913D2">
        <w:rPr>
          <w:rFonts w:ascii="Arial" w:hAnsi="Arial" w:cs="Arial"/>
          <w:color w:val="010000"/>
          <w:sz w:val="20"/>
        </w:rPr>
        <w:t xml:space="preserve">) and other managers </w:t>
      </w:r>
      <w:r w:rsidR="00EB5B64">
        <w:rPr>
          <w:rFonts w:ascii="Arial" w:hAnsi="Arial" w:cs="Arial"/>
          <w:color w:val="010000"/>
          <w:sz w:val="20"/>
        </w:rPr>
        <w:t xml:space="preserve">who </w:t>
      </w:r>
      <w:r w:rsidRPr="00C913D2">
        <w:rPr>
          <w:rFonts w:ascii="Arial" w:hAnsi="Arial" w:cs="Arial"/>
          <w:color w:val="010000"/>
          <w:sz w:val="20"/>
        </w:rPr>
        <w:t>are member</w:t>
      </w:r>
      <w:r w:rsidR="00EB5B64">
        <w:rPr>
          <w:rFonts w:ascii="Arial" w:hAnsi="Arial" w:cs="Arial"/>
          <w:color w:val="010000"/>
          <w:sz w:val="20"/>
        </w:rPr>
        <w:t>s of the Board of Directors or</w:t>
      </w:r>
      <w:r w:rsidRPr="00C913D2">
        <w:rPr>
          <w:rFonts w:ascii="Arial" w:hAnsi="Arial" w:cs="Arial"/>
          <w:color w:val="010000"/>
          <w:sz w:val="20"/>
        </w:rPr>
        <w:t xml:space="preserve"> Executive Manager (</w:t>
      </w:r>
      <w:bookmarkStart w:id="0" w:name="_GoBack"/>
      <w:bookmarkEnd w:id="0"/>
      <w:r w:rsidR="00EB5B64">
        <w:rPr>
          <w:rFonts w:ascii="Arial" w:hAnsi="Arial" w:cs="Arial"/>
          <w:color w:val="010000"/>
          <w:sz w:val="20"/>
        </w:rPr>
        <w:t>Managing Director</w:t>
      </w:r>
      <w:r w:rsidRPr="00C913D2">
        <w:rPr>
          <w:rFonts w:ascii="Arial" w:hAnsi="Arial" w:cs="Arial"/>
          <w:color w:val="010000"/>
          <w:sz w:val="20"/>
        </w:rPr>
        <w:t>): None.</w:t>
      </w:r>
    </w:p>
    <w:p w:rsidR="001C1DD3" w:rsidRPr="00C913D2" w:rsidRDefault="00C913D2" w:rsidP="00EB5B64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45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Other transactions of the Company (if any) that may bring material or non-material benefits to members of the Board of Directors, members o</w:t>
      </w:r>
      <w:r w:rsidR="00EB5B64">
        <w:rPr>
          <w:rFonts w:ascii="Arial" w:hAnsi="Arial" w:cs="Arial"/>
          <w:color w:val="010000"/>
          <w:sz w:val="20"/>
        </w:rPr>
        <w:t>f the Supervisory Board, Executive</w:t>
      </w:r>
      <w:r w:rsidRPr="00C913D2">
        <w:rPr>
          <w:rFonts w:ascii="Arial" w:hAnsi="Arial" w:cs="Arial"/>
          <w:color w:val="010000"/>
          <w:sz w:val="20"/>
        </w:rPr>
        <w:t xml:space="preserve"> Manager (</w:t>
      </w:r>
      <w:r w:rsidR="00EB5B64">
        <w:rPr>
          <w:rFonts w:ascii="Arial" w:hAnsi="Arial" w:cs="Arial"/>
          <w:color w:val="010000"/>
          <w:sz w:val="20"/>
        </w:rPr>
        <w:t>Managing Director</w:t>
      </w:r>
      <w:r w:rsidRPr="00C913D2">
        <w:rPr>
          <w:rFonts w:ascii="Arial" w:hAnsi="Arial" w:cs="Arial"/>
          <w:color w:val="010000"/>
          <w:sz w:val="20"/>
        </w:rPr>
        <w:t>) and other managers: None.</w:t>
      </w:r>
    </w:p>
    <w:p w:rsidR="001C1DD3" w:rsidRPr="00C913D2" w:rsidRDefault="00C913D2" w:rsidP="00EB5B6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62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Share transactions of PDMR and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of PDMR (Semi-annual Report)</w:t>
      </w:r>
    </w:p>
    <w:p w:rsidR="001C1DD3" w:rsidRPr="00C913D2" w:rsidRDefault="00C913D2" w:rsidP="00EB5B6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6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 xml:space="preserve">Transactions of PDMRs and </w:t>
      </w:r>
      <w:r w:rsidR="00EB5B64">
        <w:rPr>
          <w:rFonts w:ascii="Arial" w:hAnsi="Arial" w:cs="Arial"/>
          <w:color w:val="010000"/>
          <w:sz w:val="20"/>
        </w:rPr>
        <w:t>related</w:t>
      </w:r>
      <w:r w:rsidRPr="00C913D2">
        <w:rPr>
          <w:rFonts w:ascii="Arial" w:hAnsi="Arial" w:cs="Arial"/>
          <w:color w:val="010000"/>
          <w:sz w:val="20"/>
        </w:rPr>
        <w:t xml:space="preserve"> persons with the Company’s shares: None.</w:t>
      </w:r>
    </w:p>
    <w:p w:rsidR="001C1DD3" w:rsidRPr="00C913D2" w:rsidRDefault="00C913D2" w:rsidP="00EB5B6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62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913D2">
        <w:rPr>
          <w:rFonts w:ascii="Arial" w:hAnsi="Arial" w:cs="Arial"/>
          <w:color w:val="010000"/>
          <w:sz w:val="20"/>
        </w:rPr>
        <w:t>Other significant issues</w:t>
      </w:r>
    </w:p>
    <w:sectPr w:rsidR="001C1DD3" w:rsidRPr="00C913D2" w:rsidSect="00C913D2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11A2D092-62D0-4317-95DE-08B1B598F991}"/>
    <w:embedBold r:id="rId2" w:fontKey="{CFC49308-5BE2-4BD4-8394-B8FC902560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A260531-6E2C-4DD0-8002-A436C89077E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DECDAE7-C949-4DA1-B020-B13AA9DC945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B52643FA-3163-473D-939C-617A737920A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2588AAC6-865D-435D-A114-524FF67E253C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C6378"/>
    <w:multiLevelType w:val="multilevel"/>
    <w:tmpl w:val="6784AD46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634C77"/>
    <w:multiLevelType w:val="multilevel"/>
    <w:tmpl w:val="88CA350E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B1C5B93"/>
    <w:multiLevelType w:val="multilevel"/>
    <w:tmpl w:val="9E14ED50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6703E20"/>
    <w:multiLevelType w:val="multilevel"/>
    <w:tmpl w:val="3C12FE36"/>
    <w:lvl w:ilvl="0">
      <w:start w:val="1"/>
      <w:numFmt w:val="bullet"/>
      <w:lvlText w:val="+"/>
      <w:lvlJc w:val="left"/>
      <w:pPr>
        <w:ind w:left="720" w:hanging="360"/>
      </w:pPr>
      <w:rPr>
        <w:b w:val="0"/>
        <w:i w:val="0"/>
        <w:sz w:val="20"/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b w:val="0"/>
        <w:i w:val="0"/>
        <w:sz w:val="20"/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b w:val="0"/>
        <w:i w:val="0"/>
        <w:sz w:val="20"/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96F0E15"/>
    <w:multiLevelType w:val="multilevel"/>
    <w:tmpl w:val="DE1C895C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6C4F4EDE"/>
    <w:multiLevelType w:val="multilevel"/>
    <w:tmpl w:val="9F82E3C2"/>
    <w:lvl w:ilvl="0">
      <w:start w:val="7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727B2BE0"/>
    <w:multiLevelType w:val="multilevel"/>
    <w:tmpl w:val="FB7A448E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D3"/>
    <w:rsid w:val="001C1DD3"/>
    <w:rsid w:val="00C913D2"/>
    <w:rsid w:val="00EB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DAD72"/>
  <w15:docId w15:val="{7CA96A73-45DB-4FDD-872C-422110D1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C2394E"/>
      <w:sz w:val="22"/>
      <w:szCs w:val="22"/>
      <w:u w:val="none"/>
      <w:shd w:val="clear" w:color="auto" w:fill="auto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 w:val="0"/>
      <w:bCs w:val="0"/>
      <w:i w:val="0"/>
      <w:iCs w:val="0"/>
      <w:smallCaps w:val="0"/>
      <w:strike w:val="0"/>
      <w:color w:val="C2394E"/>
      <w:sz w:val="20"/>
      <w:szCs w:val="2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76" w:lineRule="auto"/>
      <w:ind w:firstLine="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Normal"/>
    <w:link w:val="Bodytext5"/>
    <w:pPr>
      <w:ind w:left="2360"/>
    </w:pPr>
    <w:rPr>
      <w:rFonts w:ascii="Arial" w:eastAsia="Arial" w:hAnsi="Arial" w:cs="Arial"/>
      <w:sz w:val="14"/>
      <w:szCs w:val="14"/>
    </w:rPr>
  </w:style>
  <w:style w:type="paragraph" w:customStyle="1" w:styleId="Tablecaption0">
    <w:name w:val="Table caption"/>
    <w:basedOn w:val="Normal"/>
    <w:link w:val="Tablecaption"/>
    <w:pPr>
      <w:spacing w:line="274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Other0">
    <w:name w:val="Other"/>
    <w:basedOn w:val="Normal"/>
    <w:link w:val="Other"/>
    <w:pPr>
      <w:spacing w:line="276" w:lineRule="auto"/>
      <w:ind w:firstLine="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basedOn w:val="Normal"/>
    <w:link w:val="Bodytext3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1">
    <w:name w:val="Heading #1"/>
    <w:basedOn w:val="Normal"/>
    <w:link w:val="Heading10"/>
    <w:pPr>
      <w:jc w:val="center"/>
      <w:outlineLvl w:val="0"/>
    </w:pPr>
    <w:rPr>
      <w:rFonts w:ascii="Arial" w:eastAsia="Arial" w:hAnsi="Arial" w:cs="Arial"/>
      <w:sz w:val="32"/>
      <w:szCs w:val="32"/>
    </w:rPr>
  </w:style>
  <w:style w:type="paragraph" w:customStyle="1" w:styleId="Bodytext20">
    <w:name w:val="Body text (2)"/>
    <w:basedOn w:val="Normal"/>
    <w:link w:val="Bodytext2"/>
    <w:rPr>
      <w:rFonts w:ascii="Arial" w:eastAsia="Arial" w:hAnsi="Arial" w:cs="Arial"/>
      <w:sz w:val="11"/>
      <w:szCs w:val="11"/>
    </w:rPr>
  </w:style>
  <w:style w:type="paragraph" w:customStyle="1" w:styleId="Bodytext40">
    <w:name w:val="Body text (4)"/>
    <w:basedOn w:val="Normal"/>
    <w:link w:val="Bodytext4"/>
    <w:rPr>
      <w:rFonts w:ascii="Cambria" w:eastAsia="Cambria" w:hAnsi="Cambria" w:cs="Cambria"/>
      <w:color w:val="C2394E"/>
      <w:sz w:val="22"/>
      <w:szCs w:val="22"/>
    </w:rPr>
  </w:style>
  <w:style w:type="paragraph" w:customStyle="1" w:styleId="Bodytext60">
    <w:name w:val="Body text (6)"/>
    <w:basedOn w:val="Normal"/>
    <w:link w:val="Bodytext6"/>
    <w:rPr>
      <w:rFonts w:ascii="Arial" w:eastAsia="Arial" w:hAnsi="Arial" w:cs="Arial"/>
      <w:color w:val="C2394E"/>
      <w:sz w:val="20"/>
      <w:szCs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rSO2eRe0pW3+OH6OLZxuZoFMwQ==">CgMxLjA4AHIhMTB3OFk2eW1IMTI4Wlk5dzYwVmNBVmdLWjhpRDRTanJR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Duc Quan</cp:lastModifiedBy>
  <cp:revision>2</cp:revision>
  <dcterms:created xsi:type="dcterms:W3CDTF">2026-02-04T03:40:00Z</dcterms:created>
  <dcterms:modified xsi:type="dcterms:W3CDTF">2026-02-04T03:40:00Z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0919ef4e-f34e-43d1-a320-48ec2f7b450b</vt:lpwstr>
  </property>
</Properties>
</file>