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306B" w:rsidRPr="00356A14" w:rsidRDefault="00356A14" w:rsidP="00686232">
      <w:pPr>
        <w:pBdr>
          <w:top w:val="nil"/>
          <w:left w:val="nil"/>
          <w:bottom w:val="nil"/>
          <w:right w:val="nil"/>
          <w:between w:val="nil"/>
        </w:pBdr>
        <w:tabs>
          <w:tab w:val="left" w:pos="432"/>
        </w:tabs>
        <w:spacing w:after="120" w:line="360" w:lineRule="auto"/>
        <w:jc w:val="both"/>
        <w:rPr>
          <w:rFonts w:ascii="Arial" w:eastAsia="Arial" w:hAnsi="Arial" w:cs="Arial"/>
          <w:b/>
          <w:bCs/>
          <w:color w:val="010000"/>
          <w:sz w:val="20"/>
          <w:szCs w:val="20"/>
        </w:rPr>
      </w:pPr>
      <w:r w:rsidRPr="00356A14">
        <w:rPr>
          <w:rFonts w:ascii="Arial" w:hAnsi="Arial" w:cs="Arial"/>
          <w:b/>
          <w:color w:val="010000"/>
          <w:sz w:val="20"/>
        </w:rPr>
        <w:t>BBT: Report on changing the plan for using capital</w:t>
      </w:r>
    </w:p>
    <w:p w:rsidR="0092306B" w:rsidRPr="00356A14" w:rsidRDefault="00356A14" w:rsidP="00686232">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356A14">
        <w:rPr>
          <w:rFonts w:ascii="Arial" w:hAnsi="Arial" w:cs="Arial"/>
          <w:color w:val="010000"/>
          <w:sz w:val="20"/>
        </w:rPr>
        <w:t xml:space="preserve">On April 15, 2026, Bach </w:t>
      </w:r>
      <w:proofErr w:type="spellStart"/>
      <w:r w:rsidRPr="00356A14">
        <w:rPr>
          <w:rFonts w:ascii="Arial" w:hAnsi="Arial" w:cs="Arial"/>
          <w:color w:val="010000"/>
          <w:sz w:val="20"/>
        </w:rPr>
        <w:t>Tuyet</w:t>
      </w:r>
      <w:proofErr w:type="spellEnd"/>
      <w:r w:rsidRPr="00356A14">
        <w:rPr>
          <w:rFonts w:ascii="Arial" w:hAnsi="Arial" w:cs="Arial"/>
          <w:color w:val="010000"/>
          <w:sz w:val="20"/>
        </w:rPr>
        <w:t xml:space="preserve"> Cotton Corporation announced Report No. 07/2026/CV-BBT on changing the plan on using capital as follows:</w:t>
      </w:r>
    </w:p>
    <w:p w:rsidR="0092306B" w:rsidRPr="00356A14" w:rsidRDefault="00356A14" w:rsidP="00686232">
      <w:pPr>
        <w:keepNext/>
        <w:numPr>
          <w:ilvl w:val="0"/>
          <w:numId w:val="1"/>
        </w:numPr>
        <w:pBdr>
          <w:top w:val="nil"/>
          <w:left w:val="nil"/>
          <w:bottom w:val="nil"/>
          <w:right w:val="nil"/>
          <w:between w:val="nil"/>
        </w:pBdr>
        <w:tabs>
          <w:tab w:val="left" w:pos="432"/>
          <w:tab w:val="left" w:pos="551"/>
        </w:tabs>
        <w:spacing w:after="120" w:line="360" w:lineRule="auto"/>
        <w:jc w:val="both"/>
        <w:rPr>
          <w:rFonts w:ascii="Arial" w:eastAsia="Arial" w:hAnsi="Arial" w:cs="Arial"/>
          <w:color w:val="010000"/>
          <w:sz w:val="20"/>
          <w:szCs w:val="20"/>
        </w:rPr>
      </w:pPr>
      <w:r w:rsidRPr="00356A14">
        <w:rPr>
          <w:rFonts w:ascii="Arial" w:hAnsi="Arial" w:cs="Arial"/>
          <w:color w:val="010000"/>
          <w:sz w:val="20"/>
        </w:rPr>
        <w:t>ISSUED SECURITIES</w:t>
      </w:r>
    </w:p>
    <w:p w:rsidR="0092306B" w:rsidRPr="00356A14" w:rsidRDefault="00356A14" w:rsidP="00686232">
      <w:pPr>
        <w:numPr>
          <w:ilvl w:val="0"/>
          <w:numId w:val="2"/>
        </w:numPr>
        <w:pBdr>
          <w:top w:val="nil"/>
          <w:left w:val="nil"/>
          <w:bottom w:val="nil"/>
          <w:right w:val="nil"/>
          <w:between w:val="nil"/>
        </w:pBdr>
        <w:tabs>
          <w:tab w:val="left" w:pos="432"/>
          <w:tab w:val="left" w:pos="551"/>
        </w:tabs>
        <w:spacing w:after="120" w:line="360" w:lineRule="auto"/>
        <w:jc w:val="both"/>
        <w:rPr>
          <w:rFonts w:ascii="Arial" w:eastAsia="Arial" w:hAnsi="Arial" w:cs="Arial"/>
          <w:color w:val="010000"/>
          <w:sz w:val="20"/>
          <w:szCs w:val="20"/>
        </w:rPr>
      </w:pPr>
      <w:r w:rsidRPr="00356A14">
        <w:rPr>
          <w:rFonts w:ascii="Arial" w:hAnsi="Arial" w:cs="Arial"/>
          <w:color w:val="010000"/>
          <w:sz w:val="20"/>
        </w:rPr>
        <w:t xml:space="preserve">Securities name: Shares of Bach </w:t>
      </w:r>
      <w:proofErr w:type="spellStart"/>
      <w:r w:rsidRPr="00356A14">
        <w:rPr>
          <w:rFonts w:ascii="Arial" w:hAnsi="Arial" w:cs="Arial"/>
          <w:color w:val="010000"/>
          <w:sz w:val="20"/>
        </w:rPr>
        <w:t>Tuyet</w:t>
      </w:r>
      <w:proofErr w:type="spellEnd"/>
      <w:r w:rsidRPr="00356A14">
        <w:rPr>
          <w:rFonts w:ascii="Arial" w:hAnsi="Arial" w:cs="Arial"/>
          <w:color w:val="010000"/>
          <w:sz w:val="20"/>
        </w:rPr>
        <w:t xml:space="preserve"> Cotton Corporation</w:t>
      </w:r>
    </w:p>
    <w:p w:rsidR="0092306B" w:rsidRPr="00356A14" w:rsidRDefault="00356A14" w:rsidP="00686232">
      <w:pPr>
        <w:numPr>
          <w:ilvl w:val="0"/>
          <w:numId w:val="2"/>
        </w:numPr>
        <w:pBdr>
          <w:top w:val="nil"/>
          <w:left w:val="nil"/>
          <w:bottom w:val="nil"/>
          <w:right w:val="nil"/>
          <w:between w:val="nil"/>
        </w:pBdr>
        <w:tabs>
          <w:tab w:val="left" w:pos="432"/>
          <w:tab w:val="left" w:pos="551"/>
        </w:tabs>
        <w:spacing w:after="120" w:line="360" w:lineRule="auto"/>
        <w:jc w:val="both"/>
        <w:rPr>
          <w:rFonts w:ascii="Arial" w:eastAsia="Arial" w:hAnsi="Arial" w:cs="Arial"/>
          <w:color w:val="010000"/>
          <w:sz w:val="20"/>
          <w:szCs w:val="20"/>
        </w:rPr>
      </w:pPr>
      <w:r w:rsidRPr="00356A14">
        <w:rPr>
          <w:rFonts w:ascii="Arial" w:hAnsi="Arial" w:cs="Arial"/>
          <w:color w:val="010000"/>
          <w:sz w:val="20"/>
        </w:rPr>
        <w:t>Securities type: Common shares</w:t>
      </w:r>
    </w:p>
    <w:p w:rsidR="0092306B" w:rsidRPr="00356A14" w:rsidRDefault="00356A14" w:rsidP="00686232">
      <w:pPr>
        <w:numPr>
          <w:ilvl w:val="0"/>
          <w:numId w:val="2"/>
        </w:numPr>
        <w:pBdr>
          <w:top w:val="nil"/>
          <w:left w:val="nil"/>
          <w:bottom w:val="nil"/>
          <w:right w:val="nil"/>
          <w:between w:val="nil"/>
        </w:pBdr>
        <w:tabs>
          <w:tab w:val="left" w:pos="432"/>
          <w:tab w:val="left" w:pos="551"/>
        </w:tabs>
        <w:spacing w:after="120" w:line="360" w:lineRule="auto"/>
        <w:jc w:val="both"/>
        <w:rPr>
          <w:rFonts w:ascii="Arial" w:eastAsia="Arial" w:hAnsi="Arial" w:cs="Arial"/>
          <w:color w:val="010000"/>
          <w:sz w:val="20"/>
          <w:szCs w:val="20"/>
        </w:rPr>
      </w:pPr>
      <w:r w:rsidRPr="00356A14">
        <w:rPr>
          <w:rFonts w:ascii="Arial" w:hAnsi="Arial" w:cs="Arial"/>
          <w:color w:val="010000"/>
          <w:sz w:val="20"/>
        </w:rPr>
        <w:t>Par value: VND10,000/share</w:t>
      </w:r>
    </w:p>
    <w:p w:rsidR="0092306B" w:rsidRPr="00356A14" w:rsidRDefault="00356A14" w:rsidP="00686232">
      <w:pPr>
        <w:numPr>
          <w:ilvl w:val="0"/>
          <w:numId w:val="2"/>
        </w:numPr>
        <w:pBdr>
          <w:top w:val="nil"/>
          <w:left w:val="nil"/>
          <w:bottom w:val="nil"/>
          <w:right w:val="nil"/>
          <w:between w:val="nil"/>
        </w:pBdr>
        <w:tabs>
          <w:tab w:val="left" w:pos="432"/>
          <w:tab w:val="left" w:pos="551"/>
        </w:tabs>
        <w:spacing w:after="120" w:line="360" w:lineRule="auto"/>
        <w:jc w:val="both"/>
        <w:rPr>
          <w:rFonts w:ascii="Arial" w:eastAsia="Arial" w:hAnsi="Arial" w:cs="Arial"/>
          <w:color w:val="010000"/>
          <w:sz w:val="20"/>
          <w:szCs w:val="20"/>
        </w:rPr>
      </w:pPr>
      <w:r w:rsidRPr="00356A14">
        <w:rPr>
          <w:rFonts w:ascii="Arial" w:hAnsi="Arial" w:cs="Arial"/>
          <w:color w:val="010000"/>
          <w:sz w:val="20"/>
        </w:rPr>
        <w:t>Number of issued securities: 9,800,000 shares.</w:t>
      </w:r>
    </w:p>
    <w:p w:rsidR="0092306B" w:rsidRPr="00356A14" w:rsidRDefault="00356A14" w:rsidP="00686232">
      <w:pPr>
        <w:numPr>
          <w:ilvl w:val="0"/>
          <w:numId w:val="2"/>
        </w:numPr>
        <w:pBdr>
          <w:top w:val="nil"/>
          <w:left w:val="nil"/>
          <w:bottom w:val="nil"/>
          <w:right w:val="nil"/>
          <w:between w:val="nil"/>
        </w:pBdr>
        <w:tabs>
          <w:tab w:val="left" w:pos="432"/>
          <w:tab w:val="left" w:pos="551"/>
        </w:tabs>
        <w:spacing w:after="120" w:line="360" w:lineRule="auto"/>
        <w:jc w:val="both"/>
        <w:rPr>
          <w:rFonts w:ascii="Arial" w:eastAsia="Arial" w:hAnsi="Arial" w:cs="Arial"/>
          <w:color w:val="010000"/>
          <w:sz w:val="20"/>
          <w:szCs w:val="20"/>
        </w:rPr>
      </w:pPr>
      <w:r w:rsidRPr="00356A14">
        <w:rPr>
          <w:rFonts w:ascii="Arial" w:hAnsi="Arial" w:cs="Arial"/>
          <w:color w:val="010000"/>
          <w:sz w:val="20"/>
        </w:rPr>
        <w:t>Total capital/proceeds mobilized: VND98,000,000,000 of which the capital/amount raised for the project (in case capital is used to implement the project): VND0 because the Company did not raise capital to implement the project.</w:t>
      </w:r>
    </w:p>
    <w:p w:rsidR="0092306B" w:rsidRPr="00356A14" w:rsidRDefault="00356A14" w:rsidP="00686232">
      <w:pPr>
        <w:numPr>
          <w:ilvl w:val="0"/>
          <w:numId w:val="2"/>
        </w:numPr>
        <w:pBdr>
          <w:top w:val="nil"/>
          <w:left w:val="nil"/>
          <w:bottom w:val="nil"/>
          <w:right w:val="nil"/>
          <w:between w:val="nil"/>
        </w:pBdr>
        <w:tabs>
          <w:tab w:val="left" w:pos="432"/>
          <w:tab w:val="left" w:pos="551"/>
        </w:tabs>
        <w:spacing w:after="120" w:line="360" w:lineRule="auto"/>
        <w:jc w:val="both"/>
        <w:rPr>
          <w:rFonts w:ascii="Arial" w:eastAsia="Arial" w:hAnsi="Arial" w:cs="Arial"/>
          <w:color w:val="010000"/>
          <w:sz w:val="20"/>
          <w:szCs w:val="20"/>
        </w:rPr>
      </w:pPr>
      <w:r w:rsidRPr="00356A14">
        <w:rPr>
          <w:rFonts w:ascii="Arial" w:hAnsi="Arial" w:cs="Arial"/>
          <w:color w:val="010000"/>
          <w:sz w:val="20"/>
        </w:rPr>
        <w:t>Completion date of the offering/issuance: October 23, 2025</w:t>
      </w:r>
    </w:p>
    <w:p w:rsidR="0092306B" w:rsidRPr="00356A14" w:rsidRDefault="00356A14" w:rsidP="00686232">
      <w:pPr>
        <w:keepNext/>
        <w:numPr>
          <w:ilvl w:val="0"/>
          <w:numId w:val="1"/>
        </w:numPr>
        <w:pBdr>
          <w:top w:val="nil"/>
          <w:left w:val="nil"/>
          <w:bottom w:val="nil"/>
          <w:right w:val="nil"/>
          <w:between w:val="nil"/>
        </w:pBdr>
        <w:tabs>
          <w:tab w:val="left" w:pos="432"/>
          <w:tab w:val="left" w:pos="551"/>
        </w:tabs>
        <w:spacing w:after="120" w:line="360" w:lineRule="auto"/>
        <w:jc w:val="both"/>
        <w:rPr>
          <w:rFonts w:ascii="Arial" w:eastAsia="Arial" w:hAnsi="Arial" w:cs="Arial"/>
          <w:color w:val="010000"/>
          <w:sz w:val="20"/>
          <w:szCs w:val="20"/>
        </w:rPr>
      </w:pPr>
      <w:r w:rsidRPr="00356A14">
        <w:rPr>
          <w:rFonts w:ascii="Arial" w:hAnsi="Arial" w:cs="Arial"/>
          <w:color w:val="010000"/>
          <w:sz w:val="20"/>
        </w:rPr>
        <w:t>PLAN ON USING CAPITAL/PROCEEDS COLLECTED FROM THE ISSUANCE/OFFERING</w:t>
      </w:r>
    </w:p>
    <w:p w:rsidR="0092306B" w:rsidRPr="00356A14" w:rsidRDefault="00356A14" w:rsidP="00686232">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356A14">
        <w:rPr>
          <w:rFonts w:ascii="Arial" w:hAnsi="Arial" w:cs="Arial"/>
          <w:color w:val="010000"/>
          <w:sz w:val="20"/>
        </w:rPr>
        <w:t>1. Plan on using the capital/proceeds from the offering/issuance</w:t>
      </w:r>
    </w:p>
    <w:p w:rsidR="0092306B" w:rsidRPr="00356A14" w:rsidRDefault="00356A14" w:rsidP="00686232">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356A14">
        <w:rPr>
          <w:rFonts w:ascii="Arial" w:hAnsi="Arial" w:cs="Arial"/>
          <w:color w:val="010000"/>
          <w:sz w:val="20"/>
        </w:rPr>
        <w:t>Based on Board Resolution No. 20/2025/NQ-HDQT dated October 31, 2025 on approving the adjustment of the detailed plan on using capital obtained from the public offering of additional shares to existing shareholders of the Company, implemented according to General Mandate No. 01/2025/NQDHDCD dated April 8, 2025, Board Resolution No. 09/2025/NQ-HDQT dated May 12, 2025, and the Board Resolution No. 12/2025/NQ-HDQT dated June 24, 2025, Minutes of Vote Counting 17/2025/BBKP-HDQT dated October 31, 2025, the plan on using the capital raised from the offering is as follows:</w:t>
      </w:r>
    </w:p>
    <w:tbl>
      <w:tblPr>
        <w:tblStyle w:val="a"/>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93"/>
        <w:gridCol w:w="2750"/>
        <w:gridCol w:w="1809"/>
        <w:gridCol w:w="2460"/>
        <w:gridCol w:w="1405"/>
      </w:tblGrid>
      <w:tr w:rsidR="0092306B" w:rsidRPr="00356A14" w:rsidTr="00356A14">
        <w:tc>
          <w:tcPr>
            <w:tcW w:w="329"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 xml:space="preserve">No. </w:t>
            </w:r>
          </w:p>
        </w:tc>
        <w:tc>
          <w:tcPr>
            <w:tcW w:w="1525"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Plan on using capital</w:t>
            </w:r>
          </w:p>
        </w:tc>
        <w:tc>
          <w:tcPr>
            <w:tcW w:w="1003"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Value (VND)</w:t>
            </w:r>
          </w:p>
        </w:tc>
        <w:tc>
          <w:tcPr>
            <w:tcW w:w="1364"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Expected disbursement time</w:t>
            </w:r>
          </w:p>
        </w:tc>
        <w:tc>
          <w:tcPr>
            <w:tcW w:w="779"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Method of using proceeds</w:t>
            </w:r>
          </w:p>
        </w:tc>
      </w:tr>
      <w:tr w:rsidR="0092306B" w:rsidRPr="00356A14" w:rsidTr="00356A14">
        <w:tc>
          <w:tcPr>
            <w:tcW w:w="329"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1</w:t>
            </w:r>
          </w:p>
        </w:tc>
        <w:tc>
          <w:tcPr>
            <w:tcW w:w="1525"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Repay bank loan principal</w:t>
            </w:r>
          </w:p>
        </w:tc>
        <w:tc>
          <w:tcPr>
            <w:tcW w:w="1003"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35,000,000,000</w:t>
            </w:r>
          </w:p>
        </w:tc>
        <w:tc>
          <w:tcPr>
            <w:tcW w:w="1364"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After the end of the offering, expected from Q3/2025- Q1/2026</w:t>
            </w:r>
          </w:p>
        </w:tc>
        <w:tc>
          <w:tcPr>
            <w:tcW w:w="779"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Repay loan principal</w:t>
            </w:r>
          </w:p>
        </w:tc>
      </w:tr>
      <w:tr w:rsidR="0092306B" w:rsidRPr="00356A14" w:rsidTr="00356A14">
        <w:tc>
          <w:tcPr>
            <w:tcW w:w="329"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1.1</w:t>
            </w:r>
          </w:p>
        </w:tc>
        <w:tc>
          <w:tcPr>
            <w:tcW w:w="1525"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Bank for Foreign Trade of Vietnam</w:t>
            </w:r>
          </w:p>
        </w:tc>
        <w:tc>
          <w:tcPr>
            <w:tcW w:w="1003"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25,000,000,000</w:t>
            </w:r>
          </w:p>
        </w:tc>
        <w:tc>
          <w:tcPr>
            <w:tcW w:w="1364"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After the end of the offering, expected from Q3/2025- Q1/2026</w:t>
            </w:r>
          </w:p>
        </w:tc>
        <w:tc>
          <w:tcPr>
            <w:tcW w:w="779"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Repay loan principal</w:t>
            </w:r>
          </w:p>
        </w:tc>
      </w:tr>
      <w:tr w:rsidR="0092306B" w:rsidRPr="00356A14" w:rsidTr="00356A14">
        <w:tc>
          <w:tcPr>
            <w:tcW w:w="329"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1.2</w:t>
            </w:r>
          </w:p>
        </w:tc>
        <w:tc>
          <w:tcPr>
            <w:tcW w:w="1525"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Vietnam Bank for Agriculture and Rural Development</w:t>
            </w:r>
          </w:p>
        </w:tc>
        <w:tc>
          <w:tcPr>
            <w:tcW w:w="1003"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10,000,000,000</w:t>
            </w:r>
          </w:p>
        </w:tc>
        <w:tc>
          <w:tcPr>
            <w:tcW w:w="1364"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After the end of the offering, expected from Q3/2025- Q1/2026</w:t>
            </w:r>
          </w:p>
        </w:tc>
        <w:tc>
          <w:tcPr>
            <w:tcW w:w="779"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Repay loan principal</w:t>
            </w:r>
          </w:p>
        </w:tc>
      </w:tr>
      <w:tr w:rsidR="0092306B" w:rsidRPr="00356A14" w:rsidTr="00356A14">
        <w:tc>
          <w:tcPr>
            <w:tcW w:w="329"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2</w:t>
            </w:r>
          </w:p>
        </w:tc>
        <w:tc>
          <w:tcPr>
            <w:tcW w:w="1525"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 xml:space="preserve">Supplement working capital to support the Company's </w:t>
            </w:r>
            <w:r w:rsidRPr="00356A14">
              <w:rPr>
                <w:rFonts w:ascii="Arial" w:hAnsi="Arial" w:cs="Arial"/>
                <w:color w:val="010000"/>
                <w:sz w:val="20"/>
              </w:rPr>
              <w:lastRenderedPageBreak/>
              <w:t>production and business activities, including but not limited to payments to the Company's suppliers/partners</w:t>
            </w:r>
          </w:p>
        </w:tc>
        <w:tc>
          <w:tcPr>
            <w:tcW w:w="1003"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lastRenderedPageBreak/>
              <w:t>63,000,000,000</w:t>
            </w:r>
          </w:p>
        </w:tc>
        <w:tc>
          <w:tcPr>
            <w:tcW w:w="1364"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 xml:space="preserve">After the end of the offering, expected from </w:t>
            </w:r>
            <w:r w:rsidRPr="00356A14">
              <w:rPr>
                <w:rFonts w:ascii="Arial" w:hAnsi="Arial" w:cs="Arial"/>
                <w:color w:val="010000"/>
                <w:sz w:val="20"/>
              </w:rPr>
              <w:lastRenderedPageBreak/>
              <w:t>Q3/2025- Q1/2026</w:t>
            </w:r>
          </w:p>
        </w:tc>
        <w:tc>
          <w:tcPr>
            <w:tcW w:w="779"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lastRenderedPageBreak/>
              <w:t>Supplement working capital</w:t>
            </w:r>
          </w:p>
        </w:tc>
      </w:tr>
      <w:tr w:rsidR="0092306B" w:rsidRPr="00356A14" w:rsidTr="00356A14">
        <w:tc>
          <w:tcPr>
            <w:tcW w:w="329"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lastRenderedPageBreak/>
              <w:t>2.7.</w:t>
            </w:r>
          </w:p>
        </w:tc>
        <w:tc>
          <w:tcPr>
            <w:tcW w:w="1525"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Pay to suppliers</w:t>
            </w:r>
          </w:p>
        </w:tc>
        <w:tc>
          <w:tcPr>
            <w:tcW w:w="1003"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12,000,000,000</w:t>
            </w:r>
          </w:p>
        </w:tc>
        <w:tc>
          <w:tcPr>
            <w:tcW w:w="1364"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After the end of the offering, expected from Q3/2025- Q1/2026</w:t>
            </w:r>
          </w:p>
        </w:tc>
        <w:tc>
          <w:tcPr>
            <w:tcW w:w="779"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Supplement working capital</w:t>
            </w:r>
          </w:p>
        </w:tc>
      </w:tr>
      <w:tr w:rsidR="0092306B" w:rsidRPr="00356A14" w:rsidTr="00356A14">
        <w:tc>
          <w:tcPr>
            <w:tcW w:w="329"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2.2.</w:t>
            </w:r>
          </w:p>
        </w:tc>
        <w:tc>
          <w:tcPr>
            <w:tcW w:w="1525"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Pay to partners</w:t>
            </w:r>
          </w:p>
        </w:tc>
        <w:tc>
          <w:tcPr>
            <w:tcW w:w="1003"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15,000,000,000</w:t>
            </w:r>
          </w:p>
        </w:tc>
        <w:tc>
          <w:tcPr>
            <w:tcW w:w="1364"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After the end of the offering, expected from Q3/2025- Q1/2026</w:t>
            </w:r>
          </w:p>
        </w:tc>
        <w:tc>
          <w:tcPr>
            <w:tcW w:w="779"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Supplement working capital</w:t>
            </w:r>
          </w:p>
        </w:tc>
      </w:tr>
      <w:tr w:rsidR="0092306B" w:rsidRPr="00356A14" w:rsidTr="00356A14">
        <w:tc>
          <w:tcPr>
            <w:tcW w:w="329"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2.3.</w:t>
            </w:r>
          </w:p>
        </w:tc>
        <w:tc>
          <w:tcPr>
            <w:tcW w:w="1525"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Supplement to other working capital</w:t>
            </w:r>
          </w:p>
        </w:tc>
        <w:tc>
          <w:tcPr>
            <w:tcW w:w="1003"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36,000,000,000</w:t>
            </w:r>
          </w:p>
        </w:tc>
        <w:tc>
          <w:tcPr>
            <w:tcW w:w="1364"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After the end of the offering, expected from Q3/2025- Q1/2026</w:t>
            </w:r>
          </w:p>
        </w:tc>
        <w:tc>
          <w:tcPr>
            <w:tcW w:w="779"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Supplement working capital</w:t>
            </w:r>
          </w:p>
        </w:tc>
      </w:tr>
      <w:tr w:rsidR="0092306B" w:rsidRPr="00356A14" w:rsidTr="00356A14">
        <w:tc>
          <w:tcPr>
            <w:tcW w:w="329" w:type="pct"/>
            <w:shd w:val="clear" w:color="auto" w:fill="auto"/>
            <w:tcMar>
              <w:top w:w="0" w:type="dxa"/>
              <w:bottom w:w="0" w:type="dxa"/>
            </w:tcMar>
            <w:vAlign w:val="center"/>
          </w:tcPr>
          <w:p w:rsidR="0092306B" w:rsidRPr="00356A14" w:rsidRDefault="0092306B"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p>
        </w:tc>
        <w:tc>
          <w:tcPr>
            <w:tcW w:w="1525"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Total</w:t>
            </w:r>
          </w:p>
        </w:tc>
        <w:tc>
          <w:tcPr>
            <w:tcW w:w="1003"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98,000,000,000</w:t>
            </w:r>
          </w:p>
        </w:tc>
        <w:tc>
          <w:tcPr>
            <w:tcW w:w="1364" w:type="pct"/>
            <w:shd w:val="clear" w:color="auto" w:fill="auto"/>
            <w:tcMar>
              <w:top w:w="0" w:type="dxa"/>
              <w:bottom w:w="0" w:type="dxa"/>
            </w:tcMar>
            <w:vAlign w:val="center"/>
          </w:tcPr>
          <w:p w:rsidR="0092306B" w:rsidRPr="00356A14" w:rsidRDefault="0092306B"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p>
        </w:tc>
        <w:tc>
          <w:tcPr>
            <w:tcW w:w="779" w:type="pct"/>
            <w:shd w:val="clear" w:color="auto" w:fill="auto"/>
            <w:tcMar>
              <w:top w:w="0" w:type="dxa"/>
              <w:bottom w:w="0" w:type="dxa"/>
            </w:tcMar>
            <w:vAlign w:val="center"/>
          </w:tcPr>
          <w:p w:rsidR="0092306B" w:rsidRPr="00356A14" w:rsidRDefault="0092306B"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p>
        </w:tc>
      </w:tr>
    </w:tbl>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2. Changed plan:</w:t>
      </w:r>
    </w:p>
    <w:tbl>
      <w:tblPr>
        <w:tblStyle w:val="a0"/>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27"/>
        <w:gridCol w:w="2483"/>
        <w:gridCol w:w="1634"/>
        <w:gridCol w:w="2241"/>
        <w:gridCol w:w="1088"/>
        <w:gridCol w:w="1044"/>
      </w:tblGrid>
      <w:tr w:rsidR="0092306B" w:rsidRPr="00356A14" w:rsidTr="00356A14">
        <w:tc>
          <w:tcPr>
            <w:tcW w:w="335"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 xml:space="preserve">No. </w:t>
            </w:r>
          </w:p>
        </w:tc>
        <w:tc>
          <w:tcPr>
            <w:tcW w:w="1419"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Plan on using capital</w:t>
            </w:r>
          </w:p>
        </w:tc>
        <w:tc>
          <w:tcPr>
            <w:tcW w:w="948"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Value (VND)</w:t>
            </w:r>
          </w:p>
        </w:tc>
        <w:tc>
          <w:tcPr>
            <w:tcW w:w="1285"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Expected disbursement time</w:t>
            </w:r>
          </w:p>
        </w:tc>
        <w:tc>
          <w:tcPr>
            <w:tcW w:w="552"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Method of using proceeds</w:t>
            </w:r>
          </w:p>
        </w:tc>
        <w:tc>
          <w:tcPr>
            <w:tcW w:w="461"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Note</w:t>
            </w:r>
          </w:p>
        </w:tc>
      </w:tr>
      <w:tr w:rsidR="0092306B" w:rsidRPr="00356A14" w:rsidTr="00356A14">
        <w:tc>
          <w:tcPr>
            <w:tcW w:w="335"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1</w:t>
            </w:r>
          </w:p>
        </w:tc>
        <w:tc>
          <w:tcPr>
            <w:tcW w:w="1419"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Repay bank loan principal</w:t>
            </w:r>
          </w:p>
        </w:tc>
        <w:tc>
          <w:tcPr>
            <w:tcW w:w="948"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34,462,762,760</w:t>
            </w:r>
          </w:p>
        </w:tc>
        <w:tc>
          <w:tcPr>
            <w:tcW w:w="1285"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After the end of the offering, expected from Q3/2025- Q1/2026</w:t>
            </w:r>
          </w:p>
        </w:tc>
        <w:tc>
          <w:tcPr>
            <w:tcW w:w="552"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Repay loan principal</w:t>
            </w:r>
          </w:p>
        </w:tc>
        <w:tc>
          <w:tcPr>
            <w:tcW w:w="461"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Adjusted</w:t>
            </w:r>
          </w:p>
        </w:tc>
      </w:tr>
      <w:tr w:rsidR="0092306B" w:rsidRPr="00356A14" w:rsidTr="00356A14">
        <w:tc>
          <w:tcPr>
            <w:tcW w:w="335"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7.7</w:t>
            </w:r>
          </w:p>
        </w:tc>
        <w:tc>
          <w:tcPr>
            <w:tcW w:w="1419"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Bank for Foreign Trade of Vietnam</w:t>
            </w:r>
          </w:p>
        </w:tc>
        <w:tc>
          <w:tcPr>
            <w:tcW w:w="948"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24,462,762,760</w:t>
            </w:r>
          </w:p>
        </w:tc>
        <w:tc>
          <w:tcPr>
            <w:tcW w:w="1285"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After the end of the offering, expected from Q3/2025- Q1/2026</w:t>
            </w:r>
          </w:p>
        </w:tc>
        <w:tc>
          <w:tcPr>
            <w:tcW w:w="552"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Repay loan principal</w:t>
            </w:r>
          </w:p>
        </w:tc>
        <w:tc>
          <w:tcPr>
            <w:tcW w:w="461"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Adjusted</w:t>
            </w:r>
          </w:p>
        </w:tc>
      </w:tr>
      <w:tr w:rsidR="0092306B" w:rsidRPr="00356A14" w:rsidTr="00356A14">
        <w:tc>
          <w:tcPr>
            <w:tcW w:w="335"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7.2</w:t>
            </w:r>
          </w:p>
        </w:tc>
        <w:tc>
          <w:tcPr>
            <w:tcW w:w="1419"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Vietnam Bank for Agriculture and Rural Development</w:t>
            </w:r>
          </w:p>
        </w:tc>
        <w:tc>
          <w:tcPr>
            <w:tcW w:w="948"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10,000,000,000</w:t>
            </w:r>
          </w:p>
        </w:tc>
        <w:tc>
          <w:tcPr>
            <w:tcW w:w="1285"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After the end of the offering, expected from Q3/2025- Q1/2026</w:t>
            </w:r>
          </w:p>
        </w:tc>
        <w:tc>
          <w:tcPr>
            <w:tcW w:w="552"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Repay loan principal</w:t>
            </w:r>
          </w:p>
        </w:tc>
        <w:tc>
          <w:tcPr>
            <w:tcW w:w="461"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Unchanged</w:t>
            </w:r>
          </w:p>
        </w:tc>
      </w:tr>
      <w:tr w:rsidR="0092306B" w:rsidRPr="00356A14" w:rsidTr="00356A14">
        <w:tc>
          <w:tcPr>
            <w:tcW w:w="335"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2</w:t>
            </w:r>
          </w:p>
        </w:tc>
        <w:tc>
          <w:tcPr>
            <w:tcW w:w="1419"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Supplement working capital to support the Company's production and business activities, including but not limited to payments to the Company's suppliers/partners</w:t>
            </w:r>
          </w:p>
        </w:tc>
        <w:tc>
          <w:tcPr>
            <w:tcW w:w="948"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63,537,237,240</w:t>
            </w:r>
          </w:p>
        </w:tc>
        <w:tc>
          <w:tcPr>
            <w:tcW w:w="1285"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After the end of the offering, expected from Q3/2025- Q1/2026</w:t>
            </w:r>
          </w:p>
        </w:tc>
        <w:tc>
          <w:tcPr>
            <w:tcW w:w="552"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Supplement working capital</w:t>
            </w:r>
          </w:p>
        </w:tc>
        <w:tc>
          <w:tcPr>
            <w:tcW w:w="455"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Adjusted</w:t>
            </w:r>
          </w:p>
        </w:tc>
      </w:tr>
      <w:tr w:rsidR="0092306B" w:rsidRPr="00356A14" w:rsidTr="00356A14">
        <w:tc>
          <w:tcPr>
            <w:tcW w:w="335"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2.1.</w:t>
            </w:r>
          </w:p>
        </w:tc>
        <w:tc>
          <w:tcPr>
            <w:tcW w:w="1419"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Pay to suppliers</w:t>
            </w:r>
          </w:p>
        </w:tc>
        <w:tc>
          <w:tcPr>
            <w:tcW w:w="948"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12,000,000,000</w:t>
            </w:r>
          </w:p>
        </w:tc>
        <w:tc>
          <w:tcPr>
            <w:tcW w:w="1285"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 xml:space="preserve">After the end of the offering, expected from </w:t>
            </w:r>
            <w:r w:rsidRPr="00356A14">
              <w:rPr>
                <w:rFonts w:ascii="Arial" w:hAnsi="Arial" w:cs="Arial"/>
                <w:color w:val="010000"/>
                <w:sz w:val="20"/>
              </w:rPr>
              <w:lastRenderedPageBreak/>
              <w:t>Q3/2025- Q1/2026</w:t>
            </w:r>
          </w:p>
        </w:tc>
        <w:tc>
          <w:tcPr>
            <w:tcW w:w="552"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lastRenderedPageBreak/>
              <w:t xml:space="preserve">Supplement working </w:t>
            </w:r>
            <w:r w:rsidRPr="00356A14">
              <w:rPr>
                <w:rFonts w:ascii="Arial" w:hAnsi="Arial" w:cs="Arial"/>
                <w:color w:val="010000"/>
                <w:sz w:val="20"/>
              </w:rPr>
              <w:lastRenderedPageBreak/>
              <w:t>capital</w:t>
            </w:r>
          </w:p>
        </w:tc>
        <w:tc>
          <w:tcPr>
            <w:tcW w:w="455"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lastRenderedPageBreak/>
              <w:t>Unchanged</w:t>
            </w:r>
          </w:p>
        </w:tc>
      </w:tr>
      <w:tr w:rsidR="0092306B" w:rsidRPr="00356A14" w:rsidTr="00356A14">
        <w:tc>
          <w:tcPr>
            <w:tcW w:w="335"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lastRenderedPageBreak/>
              <w:t>2.2.</w:t>
            </w:r>
          </w:p>
        </w:tc>
        <w:tc>
          <w:tcPr>
            <w:tcW w:w="1419"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Pay to partners</w:t>
            </w:r>
          </w:p>
        </w:tc>
        <w:tc>
          <w:tcPr>
            <w:tcW w:w="948"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15,000,000,000</w:t>
            </w:r>
          </w:p>
        </w:tc>
        <w:tc>
          <w:tcPr>
            <w:tcW w:w="1285"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After the end of the offering, expected from Q3/2025- Q1/2026</w:t>
            </w:r>
          </w:p>
        </w:tc>
        <w:tc>
          <w:tcPr>
            <w:tcW w:w="552"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Supplement working capital</w:t>
            </w:r>
          </w:p>
        </w:tc>
        <w:tc>
          <w:tcPr>
            <w:tcW w:w="455"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Unchanged</w:t>
            </w:r>
          </w:p>
        </w:tc>
      </w:tr>
      <w:tr w:rsidR="0092306B" w:rsidRPr="00356A14" w:rsidTr="00356A14">
        <w:tc>
          <w:tcPr>
            <w:tcW w:w="335"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2.3.</w:t>
            </w:r>
          </w:p>
        </w:tc>
        <w:tc>
          <w:tcPr>
            <w:tcW w:w="1419"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Supplement to other working capital</w:t>
            </w:r>
          </w:p>
        </w:tc>
        <w:tc>
          <w:tcPr>
            <w:tcW w:w="948"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36,537,237,240</w:t>
            </w:r>
          </w:p>
        </w:tc>
        <w:tc>
          <w:tcPr>
            <w:tcW w:w="1285"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After the end of the offering, expected from Q3/2025 to Q2 April 2026</w:t>
            </w:r>
          </w:p>
        </w:tc>
        <w:tc>
          <w:tcPr>
            <w:tcW w:w="552"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Supplement working capital</w:t>
            </w:r>
          </w:p>
        </w:tc>
        <w:tc>
          <w:tcPr>
            <w:tcW w:w="455"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Adjusted</w:t>
            </w:r>
          </w:p>
        </w:tc>
      </w:tr>
      <w:tr w:rsidR="0092306B" w:rsidRPr="00356A14" w:rsidTr="00356A14">
        <w:tc>
          <w:tcPr>
            <w:tcW w:w="335" w:type="pct"/>
            <w:shd w:val="clear" w:color="auto" w:fill="auto"/>
            <w:tcMar>
              <w:top w:w="0" w:type="dxa"/>
              <w:bottom w:w="0" w:type="dxa"/>
            </w:tcMar>
            <w:vAlign w:val="center"/>
          </w:tcPr>
          <w:p w:rsidR="0092306B" w:rsidRPr="00356A14" w:rsidRDefault="0092306B" w:rsidP="00356A14">
            <w:pPr>
              <w:tabs>
                <w:tab w:val="left" w:pos="432"/>
              </w:tabs>
              <w:spacing w:after="120" w:line="360" w:lineRule="auto"/>
              <w:rPr>
                <w:rFonts w:ascii="Arial" w:eastAsia="Arial" w:hAnsi="Arial" w:cs="Arial"/>
                <w:color w:val="010000"/>
                <w:sz w:val="20"/>
                <w:szCs w:val="20"/>
              </w:rPr>
            </w:pPr>
          </w:p>
        </w:tc>
        <w:tc>
          <w:tcPr>
            <w:tcW w:w="1419"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Total</w:t>
            </w:r>
          </w:p>
        </w:tc>
        <w:tc>
          <w:tcPr>
            <w:tcW w:w="948" w:type="pct"/>
            <w:shd w:val="clear" w:color="auto" w:fill="auto"/>
            <w:tcMar>
              <w:top w:w="0" w:type="dxa"/>
              <w:bottom w:w="0" w:type="dxa"/>
            </w:tcMar>
            <w:vAlign w:val="center"/>
          </w:tcPr>
          <w:p w:rsidR="0092306B" w:rsidRPr="00356A14" w:rsidRDefault="00356A14" w:rsidP="00356A14">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356A14">
              <w:rPr>
                <w:rFonts w:ascii="Arial" w:hAnsi="Arial" w:cs="Arial"/>
                <w:color w:val="010000"/>
                <w:sz w:val="20"/>
              </w:rPr>
              <w:t>98,000,000,000</w:t>
            </w:r>
          </w:p>
        </w:tc>
        <w:tc>
          <w:tcPr>
            <w:tcW w:w="1285" w:type="pct"/>
            <w:shd w:val="clear" w:color="auto" w:fill="auto"/>
            <w:tcMar>
              <w:top w:w="0" w:type="dxa"/>
              <w:bottom w:w="0" w:type="dxa"/>
            </w:tcMar>
            <w:vAlign w:val="center"/>
          </w:tcPr>
          <w:p w:rsidR="0092306B" w:rsidRPr="00356A14" w:rsidRDefault="0092306B" w:rsidP="00356A14">
            <w:pPr>
              <w:tabs>
                <w:tab w:val="left" w:pos="432"/>
              </w:tabs>
              <w:spacing w:after="120" w:line="360" w:lineRule="auto"/>
              <w:rPr>
                <w:rFonts w:ascii="Arial" w:eastAsia="Arial" w:hAnsi="Arial" w:cs="Arial"/>
                <w:color w:val="010000"/>
                <w:sz w:val="20"/>
                <w:szCs w:val="20"/>
              </w:rPr>
            </w:pPr>
          </w:p>
        </w:tc>
        <w:tc>
          <w:tcPr>
            <w:tcW w:w="552" w:type="pct"/>
            <w:shd w:val="clear" w:color="auto" w:fill="auto"/>
            <w:tcMar>
              <w:top w:w="0" w:type="dxa"/>
              <w:bottom w:w="0" w:type="dxa"/>
            </w:tcMar>
            <w:vAlign w:val="center"/>
          </w:tcPr>
          <w:p w:rsidR="0092306B" w:rsidRPr="00356A14" w:rsidRDefault="0092306B" w:rsidP="00356A14">
            <w:pPr>
              <w:tabs>
                <w:tab w:val="left" w:pos="432"/>
              </w:tabs>
              <w:spacing w:after="120" w:line="360" w:lineRule="auto"/>
              <w:rPr>
                <w:rFonts w:ascii="Arial" w:eastAsia="Arial" w:hAnsi="Arial" w:cs="Arial"/>
                <w:color w:val="010000"/>
                <w:sz w:val="20"/>
                <w:szCs w:val="20"/>
              </w:rPr>
            </w:pPr>
          </w:p>
        </w:tc>
        <w:tc>
          <w:tcPr>
            <w:tcW w:w="455" w:type="pct"/>
            <w:shd w:val="clear" w:color="auto" w:fill="auto"/>
            <w:tcMar>
              <w:top w:w="0" w:type="dxa"/>
              <w:bottom w:w="0" w:type="dxa"/>
            </w:tcMar>
            <w:vAlign w:val="center"/>
          </w:tcPr>
          <w:p w:rsidR="0092306B" w:rsidRPr="00356A14" w:rsidRDefault="0092306B" w:rsidP="00356A14">
            <w:pPr>
              <w:tabs>
                <w:tab w:val="left" w:pos="432"/>
              </w:tabs>
              <w:spacing w:after="120" w:line="360" w:lineRule="auto"/>
              <w:rPr>
                <w:rFonts w:ascii="Arial" w:eastAsia="Arial" w:hAnsi="Arial" w:cs="Arial"/>
                <w:color w:val="010000"/>
                <w:sz w:val="20"/>
                <w:szCs w:val="20"/>
              </w:rPr>
            </w:pPr>
          </w:p>
        </w:tc>
      </w:tr>
    </w:tbl>
    <w:p w:rsidR="0092306B" w:rsidRPr="00356A14" w:rsidRDefault="00356A14" w:rsidP="00A82BF8">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356A14">
        <w:rPr>
          <w:rFonts w:ascii="Arial" w:hAnsi="Arial" w:cs="Arial"/>
          <w:color w:val="010000"/>
          <w:sz w:val="20"/>
        </w:rPr>
        <w:t>(*) The total adjusted value is VND537,237,240, equivalent to 0.55% of the total amount received from the offering, less than 50% of the total amount received from the offering as stipulated in point a, clause 2, Article 26 of the Company's Charter, which falls under the authority of the Board of Directors.</w:t>
      </w:r>
      <w:bookmarkStart w:id="0" w:name="_GoBack"/>
    </w:p>
    <w:p w:rsidR="0092306B" w:rsidRPr="00356A14" w:rsidRDefault="00356A14" w:rsidP="00A82BF8">
      <w:pPr>
        <w:numPr>
          <w:ilvl w:val="0"/>
          <w:numId w:val="3"/>
        </w:numPr>
        <w:pBdr>
          <w:top w:val="nil"/>
          <w:left w:val="nil"/>
          <w:bottom w:val="nil"/>
          <w:right w:val="nil"/>
          <w:between w:val="nil"/>
        </w:pBdr>
        <w:tabs>
          <w:tab w:val="left" w:pos="432"/>
          <w:tab w:val="left" w:pos="541"/>
        </w:tabs>
        <w:spacing w:after="120" w:line="360" w:lineRule="auto"/>
        <w:jc w:val="both"/>
        <w:rPr>
          <w:rFonts w:ascii="Arial" w:eastAsia="Arial" w:hAnsi="Arial" w:cs="Arial"/>
          <w:color w:val="010000"/>
          <w:sz w:val="20"/>
          <w:szCs w:val="20"/>
        </w:rPr>
      </w:pPr>
      <w:r w:rsidRPr="00356A14">
        <w:rPr>
          <w:rFonts w:ascii="Arial" w:hAnsi="Arial" w:cs="Arial"/>
          <w:color w:val="010000"/>
          <w:sz w:val="20"/>
        </w:rPr>
        <w:t>Reason for the change: Due to the fact that the outstanding debt at JSC Bank for Foreign Trade of Vietnam is smaller than the projected amount, to ensure efficient use of capital, the Company is adjusting the amount to include other working capital.</w:t>
      </w:r>
    </w:p>
    <w:p w:rsidR="0092306B" w:rsidRPr="00356A14" w:rsidRDefault="00356A14" w:rsidP="00A82BF8">
      <w:pPr>
        <w:numPr>
          <w:ilvl w:val="0"/>
          <w:numId w:val="3"/>
        </w:numPr>
        <w:pBdr>
          <w:top w:val="nil"/>
          <w:left w:val="nil"/>
          <w:bottom w:val="nil"/>
          <w:right w:val="nil"/>
          <w:between w:val="nil"/>
        </w:pBdr>
        <w:tabs>
          <w:tab w:val="left" w:pos="432"/>
          <w:tab w:val="left" w:pos="541"/>
        </w:tabs>
        <w:spacing w:after="120" w:line="360" w:lineRule="auto"/>
        <w:jc w:val="both"/>
        <w:rPr>
          <w:rFonts w:ascii="Arial" w:eastAsia="Arial" w:hAnsi="Arial" w:cs="Arial"/>
          <w:color w:val="010000"/>
          <w:sz w:val="20"/>
          <w:szCs w:val="20"/>
        </w:rPr>
      </w:pPr>
      <w:r w:rsidRPr="00356A14">
        <w:rPr>
          <w:rFonts w:ascii="Arial" w:hAnsi="Arial" w:cs="Arial"/>
          <w:color w:val="010000"/>
          <w:sz w:val="20"/>
        </w:rPr>
        <w:t>Basis for changes: Based on General Mandate No. 01/2025/NQ-DHDCD dated April 8, 2025, on approving Proposal No. 05/2025/</w:t>
      </w:r>
      <w:proofErr w:type="spellStart"/>
      <w:r w:rsidRPr="00356A14">
        <w:rPr>
          <w:rFonts w:ascii="Arial" w:hAnsi="Arial" w:cs="Arial"/>
          <w:color w:val="010000"/>
          <w:sz w:val="20"/>
        </w:rPr>
        <w:t>TTr</w:t>
      </w:r>
      <w:proofErr w:type="spellEnd"/>
      <w:r w:rsidRPr="00356A14">
        <w:rPr>
          <w:rFonts w:ascii="Arial" w:hAnsi="Arial" w:cs="Arial"/>
          <w:color w:val="010000"/>
          <w:sz w:val="20"/>
        </w:rPr>
        <w:t>-HDQT dated March 17, 2025, on the plan on public offering of additional shares for existing shareholders to increase the Company's charter capital, and in accordance with the Company's Charter dated May 9, 2025, which includes the content that the General Meeting of Shareholders authorizes the Board of Directors to develop a detailed plan on using capital, and may adjust the plan for the use of the proceeds from the offering to suit the Company's production and business activities and carry out the procedures related to information disclosure in accordance with regulations.</w:t>
      </w:r>
      <w:bookmarkEnd w:id="0"/>
    </w:p>
    <w:sectPr w:rsidR="0092306B" w:rsidRPr="00356A14" w:rsidSect="00356A14">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auto"/>
    <w:pitch w:val="default"/>
    <w:embedRegular r:id="rId1" w:fontKey="{8A2A9482-3DF2-4F28-B34F-19328C2669A8}"/>
    <w:embedBold r:id="rId2" w:fontKey="{899489E5-FFF3-4011-8894-41C2ADD59D2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57254B95-50B6-4B7C-81D8-B2AB23F2ED51}"/>
  </w:font>
  <w:font w:name="Calibri">
    <w:panose1 w:val="020F0502020204030204"/>
    <w:charset w:val="00"/>
    <w:family w:val="swiss"/>
    <w:pitch w:val="variable"/>
    <w:sig w:usb0="E4002EFF" w:usb1="C200247B" w:usb2="00000009" w:usb3="00000000" w:csb0="000001FF" w:csb1="00000000"/>
    <w:embedRegular r:id="rId4" w:fontKey="{EDDCB0BC-BD58-404B-805D-1F6713588FEF}"/>
  </w:font>
  <w:font w:name="Cambria">
    <w:panose1 w:val="02040503050406030204"/>
    <w:charset w:val="00"/>
    <w:family w:val="roman"/>
    <w:pitch w:val="variable"/>
    <w:sig w:usb0="E00006FF" w:usb1="420024FF" w:usb2="02000000" w:usb3="00000000" w:csb0="0000019F" w:csb1="00000000"/>
    <w:embedRegular r:id="rId5" w:fontKey="{C4558C94-E4D9-4EF0-88F4-FD6E522B41BD}"/>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4F01AC"/>
    <w:multiLevelType w:val="multilevel"/>
    <w:tmpl w:val="C81C873A"/>
    <w:lvl w:ilvl="0">
      <w:start w:val="1"/>
      <w:numFmt w:val="upperRoman"/>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244F35D3"/>
    <w:multiLevelType w:val="multilevel"/>
    <w:tmpl w:val="46DCB56C"/>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45940A1C"/>
    <w:multiLevelType w:val="multilevel"/>
    <w:tmpl w:val="15B8A494"/>
    <w:lvl w:ilvl="0">
      <w:start w:val="3"/>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06B"/>
    <w:rsid w:val="00356A14"/>
    <w:rsid w:val="00686232"/>
    <w:rsid w:val="0092306B"/>
    <w:rsid w:val="00A82B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D76742-007E-44D3-A3C4-1CFBAF59F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 w:type="dxa"/>
        <w:bottom w:w="0" w:type="dxa"/>
        <w:right w:w="10" w:type="dxa"/>
      </w:tblCellMar>
    </w:tblPr>
  </w:style>
  <w:style w:type="table" w:customStyle="1" w:styleId="a0">
    <w:basedOn w:val="TableNormal0"/>
    <w:tblPr>
      <w:tblStyleRowBandSize w:val="1"/>
      <w:tblStyleColBandSize w:val="1"/>
      <w:tblCellMar>
        <w:top w:w="0" w:type="dxa"/>
        <w:left w:w="10" w:type="dxa"/>
        <w:bottom w:w="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2MumgNKVPog5RfKfq+B3Me6xA5g==">CgMxLjA4AHIhMTk5TEJvcnBtVXA0TnNUaDdRSGQ2LXFGSHo1VlBGS2Vn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765</Words>
  <Characters>4361</Characters>
  <Application>Microsoft Office Word</Application>
  <DocSecurity>0</DocSecurity>
  <Lines>36</Lines>
  <Paragraphs>10</Paragraphs>
  <ScaleCrop>false</ScaleCrop>
  <Company>Microsoft</Company>
  <LinksUpToDate>false</LinksUpToDate>
  <CharactersWithSpaces>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Hoang Phuong Thao</cp:lastModifiedBy>
  <cp:revision>4</cp:revision>
  <dcterms:created xsi:type="dcterms:W3CDTF">2026-04-20T01:32:00Z</dcterms:created>
  <dcterms:modified xsi:type="dcterms:W3CDTF">2026-04-20T04:00:00Z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85e7fbeb-56c4-40d2-b95a-37726768a8ce</vt:lpwstr>
  </property>
</Properties>
</file>