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r w:rsidRPr="0075200F">
        <w:rPr>
          <w:rFonts w:ascii="Arial" w:hAnsi="Arial" w:cs="Arial"/>
          <w:b/>
          <w:color w:val="010000"/>
          <w:sz w:val="20"/>
        </w:rPr>
        <w:t>CT6: Annual General Mandate 2026</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On April 15, 2026, Construction JSC No. 6 announced General Mandate No. 01/NQ-DHDCD as follows:</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1. Approve the Report of the Board of Directors on the results of implementing the General Mandate 2025 with the following contents: Evaluate production and business results and corporate governance. Specifically, the production and business targets for 2025 are as follows:</w:t>
      </w:r>
    </w:p>
    <w:p w:rsidR="004F16AF" w:rsidRPr="0075200F" w:rsidRDefault="0075200F" w:rsidP="00537487">
      <w:pPr>
        <w:numPr>
          <w:ilvl w:val="0"/>
          <w:numId w:val="4"/>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5200F">
        <w:rPr>
          <w:rFonts w:ascii="Arial" w:hAnsi="Arial" w:cs="Arial"/>
          <w:color w:val="010000"/>
          <w:sz w:val="20"/>
        </w:rPr>
        <w:t xml:space="preserve"> Total output value: </w:t>
      </w:r>
      <w:r w:rsidRPr="0075200F">
        <w:rPr>
          <w:rFonts w:ascii="Arial" w:hAnsi="Arial" w:cs="Arial"/>
          <w:color w:val="010000"/>
          <w:sz w:val="20"/>
        </w:rPr>
        <w:tab/>
        <w:t>VND138</w:t>
      </w:r>
      <w:r w:rsidRPr="0075200F">
        <w:rPr>
          <w:rFonts w:ascii="Arial" w:eastAsia="Arial" w:hAnsi="Arial" w:cs="Arial"/>
          <w:color w:val="010000"/>
          <w:sz w:val="20"/>
          <w:szCs w:val="20"/>
        </w:rPr>
        <w:t>.02</w:t>
      </w:r>
      <w:r w:rsidRPr="0075200F">
        <w:rPr>
          <w:rFonts w:ascii="Arial" w:hAnsi="Arial" w:cs="Arial"/>
          <w:color w:val="010000"/>
          <w:sz w:val="20"/>
        </w:rPr>
        <w:t xml:space="preserve"> billion/ VND140 billion equals 99%;</w:t>
      </w:r>
    </w:p>
    <w:p w:rsidR="004F16AF" w:rsidRPr="0075200F" w:rsidRDefault="0075200F" w:rsidP="00537487">
      <w:pPr>
        <w:numPr>
          <w:ilvl w:val="0"/>
          <w:numId w:val="4"/>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5200F">
        <w:rPr>
          <w:rFonts w:ascii="Arial" w:hAnsi="Arial" w:cs="Arial"/>
          <w:color w:val="010000"/>
          <w:sz w:val="20"/>
        </w:rPr>
        <w:t xml:space="preserve"> Total revenue: </w:t>
      </w:r>
      <w:r w:rsidRPr="0075200F">
        <w:rPr>
          <w:rFonts w:ascii="Arial" w:hAnsi="Arial" w:cs="Arial"/>
          <w:color w:val="010000"/>
          <w:sz w:val="20"/>
        </w:rPr>
        <w:tab/>
      </w:r>
      <w:r w:rsidRPr="0075200F">
        <w:rPr>
          <w:rFonts w:ascii="Arial" w:hAnsi="Arial" w:cs="Arial"/>
          <w:color w:val="010000"/>
          <w:sz w:val="20"/>
        </w:rPr>
        <w:tab/>
        <w:t>VND140 billion/VND120 billion, equal to 117%;</w:t>
      </w:r>
    </w:p>
    <w:p w:rsidR="004F16AF" w:rsidRPr="0075200F" w:rsidRDefault="003E53D9" w:rsidP="00537487">
      <w:pPr>
        <w:numPr>
          <w:ilvl w:val="0"/>
          <w:numId w:val="4"/>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Pr>
          <w:rFonts w:ascii="Arial" w:hAnsi="Arial" w:cs="Arial"/>
          <w:color w:val="010000"/>
          <w:sz w:val="20"/>
        </w:rPr>
        <w:t xml:space="preserve"> Investment: </w:t>
      </w:r>
      <w:r>
        <w:rPr>
          <w:rFonts w:ascii="Arial" w:hAnsi="Arial" w:cs="Arial"/>
          <w:color w:val="010000"/>
          <w:sz w:val="20"/>
        </w:rPr>
        <w:tab/>
      </w:r>
      <w:r>
        <w:rPr>
          <w:rFonts w:ascii="Arial" w:hAnsi="Arial" w:cs="Arial"/>
          <w:color w:val="010000"/>
          <w:sz w:val="20"/>
        </w:rPr>
        <w:tab/>
      </w:r>
      <w:r w:rsidR="0075200F" w:rsidRPr="0075200F">
        <w:rPr>
          <w:rFonts w:ascii="Arial" w:hAnsi="Arial" w:cs="Arial"/>
          <w:color w:val="010000"/>
          <w:sz w:val="20"/>
        </w:rPr>
        <w:t>VND1.084 billion/VND5 billion, equal to 22%;</w:t>
      </w:r>
    </w:p>
    <w:p w:rsidR="004F16AF" w:rsidRPr="0075200F" w:rsidRDefault="0075200F" w:rsidP="00537487">
      <w:pPr>
        <w:numPr>
          <w:ilvl w:val="0"/>
          <w:numId w:val="4"/>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5200F">
        <w:rPr>
          <w:rFonts w:ascii="Arial" w:hAnsi="Arial" w:cs="Arial"/>
          <w:color w:val="010000"/>
          <w:sz w:val="20"/>
        </w:rPr>
        <w:t xml:space="preserve"> Profit before tax: </w:t>
      </w:r>
      <w:r w:rsidRPr="0075200F">
        <w:rPr>
          <w:rFonts w:ascii="Arial" w:hAnsi="Arial" w:cs="Arial"/>
          <w:color w:val="010000"/>
          <w:sz w:val="20"/>
        </w:rPr>
        <w:tab/>
        <w:t>VND5.3 billion / VND2 billion equals 265%;</w:t>
      </w:r>
    </w:p>
    <w:p w:rsidR="004F16AF" w:rsidRPr="0075200F" w:rsidRDefault="0075200F" w:rsidP="00537487">
      <w:pPr>
        <w:numPr>
          <w:ilvl w:val="0"/>
          <w:numId w:val="4"/>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5200F">
        <w:rPr>
          <w:rFonts w:ascii="Arial" w:hAnsi="Arial" w:cs="Arial"/>
          <w:color w:val="010000"/>
          <w:sz w:val="20"/>
        </w:rPr>
        <w:t xml:space="preserve"> Average income of employee: VND13.5 million/person/month, equivalent to 123%.</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2. The General Meeting of Shareholders approved the Company's Financial Statements 2025 audited by VACO Auditing Company Limited (Basic contents according to the Report on the financial situation - production and business results, and the full content of the Audited Financial Statements published by the Company according to regulations).</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3. The General Meeting of Shareholders approved the Supervisory Board's Report on activities 2025, the Operation Plan and Tasks for 2026:</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4. The General Meeting of Shareholders approved the production and business plan, investment portfolio and financial plan 2026, with the following main targets:</w:t>
      </w:r>
    </w:p>
    <w:p w:rsidR="004F16AF" w:rsidRPr="0075200F" w:rsidRDefault="0075200F" w:rsidP="00537487">
      <w:pPr>
        <w:pStyle w:val="ListParagraph"/>
        <w:numPr>
          <w:ilvl w:val="0"/>
          <w:numId w:val="5"/>
        </w:num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Main targets</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54"/>
        <w:gridCol w:w="4609"/>
        <w:gridCol w:w="2009"/>
        <w:gridCol w:w="1645"/>
      </w:tblGrid>
      <w:tr w:rsidR="004F16AF" w:rsidRPr="0075200F" w:rsidTr="0075200F">
        <w:tc>
          <w:tcPr>
            <w:tcW w:w="418"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 xml:space="preserve">No. </w:t>
            </w:r>
          </w:p>
        </w:tc>
        <w:tc>
          <w:tcPr>
            <w:tcW w:w="2556"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Targets</w:t>
            </w:r>
          </w:p>
        </w:tc>
        <w:tc>
          <w:tcPr>
            <w:tcW w:w="1114"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Plan 2026</w:t>
            </w:r>
          </w:p>
        </w:tc>
        <w:tc>
          <w:tcPr>
            <w:tcW w:w="912"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Note</w:t>
            </w:r>
          </w:p>
        </w:tc>
      </w:tr>
      <w:tr w:rsidR="004F16AF" w:rsidRPr="0075200F" w:rsidTr="0075200F">
        <w:tc>
          <w:tcPr>
            <w:tcW w:w="418"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1</w:t>
            </w:r>
          </w:p>
        </w:tc>
        <w:tc>
          <w:tcPr>
            <w:tcW w:w="2556"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Output value (billion VND)</w:t>
            </w:r>
          </w:p>
        </w:tc>
        <w:tc>
          <w:tcPr>
            <w:tcW w:w="1114"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140</w:t>
            </w:r>
          </w:p>
        </w:tc>
        <w:tc>
          <w:tcPr>
            <w:tcW w:w="912" w:type="pct"/>
            <w:shd w:val="clear" w:color="auto" w:fill="auto"/>
            <w:tcMar>
              <w:top w:w="0" w:type="dxa"/>
              <w:bottom w:w="0" w:type="dxa"/>
            </w:tcMar>
            <w:vAlign w:val="center"/>
          </w:tcPr>
          <w:p w:rsidR="004F16AF" w:rsidRPr="0075200F" w:rsidRDefault="004F16AF" w:rsidP="00537487">
            <w:pPr>
              <w:tabs>
                <w:tab w:val="left" w:pos="720"/>
              </w:tabs>
              <w:spacing w:after="120" w:line="360" w:lineRule="auto"/>
              <w:jc w:val="both"/>
              <w:rPr>
                <w:rFonts w:ascii="Arial" w:eastAsia="Arial" w:hAnsi="Arial" w:cs="Arial"/>
                <w:color w:val="010000"/>
                <w:sz w:val="20"/>
                <w:szCs w:val="20"/>
              </w:rPr>
            </w:pPr>
          </w:p>
        </w:tc>
      </w:tr>
      <w:tr w:rsidR="004F16AF" w:rsidRPr="0075200F" w:rsidTr="0075200F">
        <w:tc>
          <w:tcPr>
            <w:tcW w:w="418"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2</w:t>
            </w:r>
          </w:p>
        </w:tc>
        <w:tc>
          <w:tcPr>
            <w:tcW w:w="2556"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Revenue (billion VND)</w:t>
            </w:r>
          </w:p>
        </w:tc>
        <w:tc>
          <w:tcPr>
            <w:tcW w:w="1114"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120</w:t>
            </w:r>
          </w:p>
        </w:tc>
        <w:tc>
          <w:tcPr>
            <w:tcW w:w="912" w:type="pct"/>
            <w:shd w:val="clear" w:color="auto" w:fill="auto"/>
            <w:tcMar>
              <w:top w:w="0" w:type="dxa"/>
              <w:bottom w:w="0" w:type="dxa"/>
            </w:tcMar>
            <w:vAlign w:val="center"/>
          </w:tcPr>
          <w:p w:rsidR="004F16AF" w:rsidRPr="0075200F" w:rsidRDefault="004F16AF" w:rsidP="00537487">
            <w:pPr>
              <w:tabs>
                <w:tab w:val="left" w:pos="720"/>
              </w:tabs>
              <w:spacing w:after="120" w:line="360" w:lineRule="auto"/>
              <w:jc w:val="both"/>
              <w:rPr>
                <w:rFonts w:ascii="Arial" w:eastAsia="Arial" w:hAnsi="Arial" w:cs="Arial"/>
                <w:color w:val="010000"/>
                <w:sz w:val="20"/>
                <w:szCs w:val="20"/>
              </w:rPr>
            </w:pPr>
          </w:p>
        </w:tc>
      </w:tr>
      <w:tr w:rsidR="004F16AF" w:rsidRPr="0075200F" w:rsidTr="0075200F">
        <w:tc>
          <w:tcPr>
            <w:tcW w:w="418"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3</w:t>
            </w:r>
          </w:p>
        </w:tc>
        <w:tc>
          <w:tcPr>
            <w:tcW w:w="2556"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Profit before tax (Billion VND)</w:t>
            </w:r>
          </w:p>
        </w:tc>
        <w:tc>
          <w:tcPr>
            <w:tcW w:w="1114" w:type="pct"/>
            <w:shd w:val="clear" w:color="auto" w:fill="auto"/>
            <w:tcMar>
              <w:top w:w="0" w:type="dxa"/>
              <w:bottom w:w="0" w:type="dxa"/>
            </w:tcMar>
            <w:vAlign w:val="center"/>
          </w:tcPr>
          <w:p w:rsidR="004F16AF" w:rsidRPr="0075200F" w:rsidRDefault="00A1697C"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sdt>
              <w:sdtPr>
                <w:rPr>
                  <w:rFonts w:ascii="Arial" w:hAnsi="Arial" w:cs="Arial"/>
                  <w:color w:val="010000"/>
                  <w:sz w:val="20"/>
                </w:rPr>
                <w:tag w:val="goog_rdk_0"/>
                <w:id w:val="1732091278"/>
              </w:sdtPr>
              <w:sdtEndPr/>
              <w:sdtContent>
                <w:r w:rsidR="0075200F" w:rsidRPr="0075200F">
                  <w:rPr>
                    <w:rFonts w:ascii="Arial" w:hAnsi="Arial" w:cs="Arial"/>
                    <w:color w:val="010000"/>
                    <w:sz w:val="20"/>
                  </w:rPr>
                  <w:t>≥2</w:t>
                </w:r>
              </w:sdtContent>
            </w:sdt>
          </w:p>
        </w:tc>
        <w:tc>
          <w:tcPr>
            <w:tcW w:w="912" w:type="pct"/>
            <w:shd w:val="clear" w:color="auto" w:fill="auto"/>
            <w:tcMar>
              <w:top w:w="0" w:type="dxa"/>
              <w:bottom w:w="0" w:type="dxa"/>
            </w:tcMar>
            <w:vAlign w:val="center"/>
          </w:tcPr>
          <w:p w:rsidR="004F16AF" w:rsidRPr="0075200F" w:rsidRDefault="004F16AF" w:rsidP="00537487">
            <w:pPr>
              <w:tabs>
                <w:tab w:val="left" w:pos="720"/>
              </w:tabs>
              <w:spacing w:after="120" w:line="360" w:lineRule="auto"/>
              <w:jc w:val="both"/>
              <w:rPr>
                <w:rFonts w:ascii="Arial" w:eastAsia="Arial" w:hAnsi="Arial" w:cs="Arial"/>
                <w:color w:val="010000"/>
                <w:sz w:val="20"/>
                <w:szCs w:val="20"/>
              </w:rPr>
            </w:pPr>
          </w:p>
        </w:tc>
      </w:tr>
      <w:tr w:rsidR="004F16AF" w:rsidRPr="0075200F" w:rsidTr="0075200F">
        <w:tc>
          <w:tcPr>
            <w:tcW w:w="418"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4</w:t>
            </w:r>
          </w:p>
        </w:tc>
        <w:tc>
          <w:tcPr>
            <w:tcW w:w="2556"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Investment (billion VND)</w:t>
            </w:r>
          </w:p>
        </w:tc>
        <w:tc>
          <w:tcPr>
            <w:tcW w:w="1114"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50</w:t>
            </w:r>
          </w:p>
        </w:tc>
        <w:tc>
          <w:tcPr>
            <w:tcW w:w="912" w:type="pct"/>
            <w:shd w:val="clear" w:color="auto" w:fill="auto"/>
            <w:tcMar>
              <w:top w:w="0" w:type="dxa"/>
              <w:bottom w:w="0" w:type="dxa"/>
            </w:tcMar>
            <w:vAlign w:val="center"/>
          </w:tcPr>
          <w:p w:rsidR="004F16AF" w:rsidRPr="0075200F" w:rsidRDefault="004F16AF" w:rsidP="00537487">
            <w:pPr>
              <w:tabs>
                <w:tab w:val="left" w:pos="720"/>
              </w:tabs>
              <w:spacing w:after="120" w:line="360" w:lineRule="auto"/>
              <w:jc w:val="both"/>
              <w:rPr>
                <w:rFonts w:ascii="Arial" w:eastAsia="Arial" w:hAnsi="Arial" w:cs="Arial"/>
                <w:color w:val="010000"/>
                <w:sz w:val="20"/>
                <w:szCs w:val="20"/>
              </w:rPr>
            </w:pPr>
          </w:p>
        </w:tc>
      </w:tr>
      <w:tr w:rsidR="004F16AF" w:rsidRPr="0075200F" w:rsidTr="0075200F">
        <w:tc>
          <w:tcPr>
            <w:tcW w:w="418" w:type="pct"/>
            <w:shd w:val="clear" w:color="auto" w:fill="auto"/>
            <w:tcMar>
              <w:top w:w="0" w:type="dxa"/>
              <w:bottom w:w="0" w:type="dxa"/>
            </w:tcMar>
            <w:vAlign w:val="center"/>
          </w:tcPr>
          <w:p w:rsidR="004F16AF" w:rsidRPr="0075200F" w:rsidRDefault="004F16AF" w:rsidP="00537487">
            <w:pPr>
              <w:tabs>
                <w:tab w:val="left" w:pos="720"/>
              </w:tabs>
              <w:spacing w:after="120" w:line="360" w:lineRule="auto"/>
              <w:jc w:val="both"/>
              <w:rPr>
                <w:rFonts w:ascii="Arial" w:eastAsia="Arial" w:hAnsi="Arial" w:cs="Arial"/>
                <w:color w:val="010000"/>
                <w:sz w:val="20"/>
                <w:szCs w:val="20"/>
              </w:rPr>
            </w:pPr>
          </w:p>
        </w:tc>
        <w:tc>
          <w:tcPr>
            <w:tcW w:w="2556" w:type="pct"/>
            <w:shd w:val="clear" w:color="auto" w:fill="auto"/>
            <w:tcMar>
              <w:top w:w="0" w:type="dxa"/>
              <w:bottom w:w="0" w:type="dxa"/>
            </w:tcMar>
            <w:vAlign w:val="center"/>
          </w:tcPr>
          <w:p w:rsidR="004F16AF" w:rsidRPr="0075200F" w:rsidRDefault="0075200F" w:rsidP="0053748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5200F">
              <w:rPr>
                <w:rFonts w:ascii="Arial" w:hAnsi="Arial" w:cs="Arial"/>
                <w:color w:val="010000"/>
                <w:sz w:val="20"/>
              </w:rPr>
              <w:t xml:space="preserve"> Machinery and equipment for construction (billion VND)</w:t>
            </w:r>
          </w:p>
        </w:tc>
        <w:tc>
          <w:tcPr>
            <w:tcW w:w="1114"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5</w:t>
            </w:r>
          </w:p>
        </w:tc>
        <w:tc>
          <w:tcPr>
            <w:tcW w:w="912" w:type="pct"/>
            <w:shd w:val="clear" w:color="auto" w:fill="auto"/>
            <w:tcMar>
              <w:top w:w="0" w:type="dxa"/>
              <w:bottom w:w="0" w:type="dxa"/>
            </w:tcMar>
            <w:vAlign w:val="center"/>
          </w:tcPr>
          <w:p w:rsidR="004F16AF" w:rsidRPr="0075200F" w:rsidRDefault="004F16AF" w:rsidP="00537487">
            <w:pPr>
              <w:tabs>
                <w:tab w:val="left" w:pos="720"/>
              </w:tabs>
              <w:spacing w:after="120" w:line="360" w:lineRule="auto"/>
              <w:jc w:val="both"/>
              <w:rPr>
                <w:rFonts w:ascii="Arial" w:eastAsia="Arial" w:hAnsi="Arial" w:cs="Arial"/>
                <w:color w:val="010000"/>
                <w:sz w:val="20"/>
                <w:szCs w:val="20"/>
              </w:rPr>
            </w:pPr>
          </w:p>
        </w:tc>
      </w:tr>
      <w:tr w:rsidR="004F16AF" w:rsidRPr="0075200F" w:rsidTr="0075200F">
        <w:tc>
          <w:tcPr>
            <w:tcW w:w="418" w:type="pct"/>
            <w:shd w:val="clear" w:color="auto" w:fill="auto"/>
            <w:tcMar>
              <w:top w:w="0" w:type="dxa"/>
              <w:bottom w:w="0" w:type="dxa"/>
            </w:tcMar>
            <w:vAlign w:val="center"/>
          </w:tcPr>
          <w:p w:rsidR="004F16AF" w:rsidRPr="0075200F" w:rsidRDefault="004F16AF" w:rsidP="00537487">
            <w:pPr>
              <w:tabs>
                <w:tab w:val="left" w:pos="720"/>
              </w:tabs>
              <w:spacing w:after="120" w:line="360" w:lineRule="auto"/>
              <w:jc w:val="both"/>
              <w:rPr>
                <w:rFonts w:ascii="Arial" w:eastAsia="Arial" w:hAnsi="Arial" w:cs="Arial"/>
                <w:color w:val="010000"/>
                <w:sz w:val="20"/>
                <w:szCs w:val="20"/>
              </w:rPr>
            </w:pPr>
          </w:p>
        </w:tc>
        <w:tc>
          <w:tcPr>
            <w:tcW w:w="2556" w:type="pct"/>
            <w:shd w:val="clear" w:color="auto" w:fill="auto"/>
            <w:tcMar>
              <w:top w:w="0" w:type="dxa"/>
              <w:bottom w:w="0" w:type="dxa"/>
            </w:tcMar>
            <w:vAlign w:val="center"/>
          </w:tcPr>
          <w:p w:rsidR="004F16AF" w:rsidRPr="0075200F" w:rsidRDefault="0075200F" w:rsidP="00537487">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5200F">
              <w:rPr>
                <w:rFonts w:ascii="Arial" w:hAnsi="Arial" w:cs="Arial"/>
                <w:color w:val="010000"/>
                <w:sz w:val="20"/>
              </w:rPr>
              <w:t xml:space="preserve"> Workshops, production lines for concrete components (billion VND)</w:t>
            </w:r>
          </w:p>
        </w:tc>
        <w:tc>
          <w:tcPr>
            <w:tcW w:w="1114"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45</w:t>
            </w:r>
          </w:p>
        </w:tc>
        <w:tc>
          <w:tcPr>
            <w:tcW w:w="912"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(expectation)</w:t>
            </w:r>
          </w:p>
        </w:tc>
      </w:tr>
      <w:tr w:rsidR="004F16AF" w:rsidRPr="0075200F" w:rsidTr="0075200F">
        <w:tc>
          <w:tcPr>
            <w:tcW w:w="418"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5</w:t>
            </w:r>
          </w:p>
        </w:tc>
        <w:tc>
          <w:tcPr>
            <w:tcW w:w="2556"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Average income (Million VND/person/month)</w:t>
            </w:r>
          </w:p>
        </w:tc>
        <w:tc>
          <w:tcPr>
            <w:tcW w:w="1114"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13</w:t>
            </w:r>
          </w:p>
        </w:tc>
        <w:tc>
          <w:tcPr>
            <w:tcW w:w="912"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Increased 15% compared to that in 2025.</w:t>
            </w:r>
          </w:p>
        </w:tc>
      </w:tr>
      <w:tr w:rsidR="004F16AF" w:rsidRPr="0075200F" w:rsidTr="0075200F">
        <w:tc>
          <w:tcPr>
            <w:tcW w:w="418"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6</w:t>
            </w:r>
          </w:p>
        </w:tc>
        <w:tc>
          <w:tcPr>
            <w:tcW w:w="2556"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Striving to pay dividends</w:t>
            </w:r>
          </w:p>
        </w:tc>
        <w:tc>
          <w:tcPr>
            <w:tcW w:w="1114" w:type="pct"/>
            <w:shd w:val="clear" w:color="auto" w:fill="auto"/>
            <w:tcMar>
              <w:top w:w="0" w:type="dxa"/>
              <w:bottom w:w="0" w:type="dxa"/>
            </w:tcMar>
            <w:vAlign w:val="center"/>
          </w:tcPr>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≥5% on charter capital</w:t>
            </w:r>
          </w:p>
        </w:tc>
        <w:tc>
          <w:tcPr>
            <w:tcW w:w="912" w:type="pct"/>
            <w:shd w:val="clear" w:color="auto" w:fill="auto"/>
            <w:tcMar>
              <w:top w:w="0" w:type="dxa"/>
              <w:bottom w:w="0" w:type="dxa"/>
            </w:tcMar>
            <w:vAlign w:val="center"/>
          </w:tcPr>
          <w:p w:rsidR="004F16AF" w:rsidRPr="0075200F" w:rsidRDefault="004F16AF" w:rsidP="00537487">
            <w:pPr>
              <w:tabs>
                <w:tab w:val="left" w:pos="720"/>
              </w:tabs>
              <w:spacing w:after="120" w:line="360" w:lineRule="auto"/>
              <w:jc w:val="both"/>
              <w:rPr>
                <w:rFonts w:ascii="Arial" w:eastAsia="Arial" w:hAnsi="Arial" w:cs="Arial"/>
                <w:color w:val="010000"/>
                <w:sz w:val="20"/>
                <w:szCs w:val="20"/>
              </w:rPr>
            </w:pPr>
          </w:p>
        </w:tc>
      </w:tr>
    </w:tbl>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 xml:space="preserve">‎‎Article 5. The General Meeting of Shareholders agreed to increase the Company's charter capital by </w:t>
      </w:r>
      <w:r w:rsidRPr="0075200F">
        <w:rPr>
          <w:rFonts w:ascii="Arial" w:hAnsi="Arial" w:cs="Arial"/>
          <w:color w:val="010000"/>
          <w:sz w:val="20"/>
        </w:rPr>
        <w:lastRenderedPageBreak/>
        <w:t>VND20 billion to meet future production and business needs, and assigned the Board of Directors to develop and approve the plan in accordance with the law. The price of issued shares shall not be lower than the par value.</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6. The General Meeting of Shareholders agreed to evaluate the operation of the Board of Directors and the Board of Management of the Company in 2025 and the management solutions in 2026, specifically:</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In the context of the Company still facing many difficulties. The Board of Directors and the Executive Board are always thorough, decisive, and flexible in implementing measures to overcome difficulties and ensure continuity in production and business operations, promptly issuing resolutions on issues arising within the organization to stabilize and rectify production and management of the company.</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The General Meeting of Shareholders agreed to implement 4 groups of management solutions in 2026: "Group of solutions for the market - employment; group of solutions on capital, group of solutions on organization and management, training of human resources; group of solutions on social life" in which focusing on implementing well the 09 basic contents stated in the report of the Board of Directors of the company.</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The company is gradually preparing to improve its capacity to participate in major railway projects in the coming time.</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7. The General Meeting of Shareholders approved the dismissal of Mr. Pham Van Thuy, Chair of the Board of Directors of the Company, from his position as a member of the Board of Directors.</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8. The General Meeting of Shareholders approved the results of the election of an additional member to the Board of Directors for the term 2022-2027, with Mr. Nguyen Duy Duong - Deputy General Manager of the Company.</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9. The General Meeting of Shareholders approved the draft amendments to the Company's Charter in accordance with the Law on Enterprises 2020; Law No. 76/2025/QH15 and the Law on Securities. The Board of Directors is assigned to complete, sign for promulgation and direct the implementation</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‎‎Article 10. Approve the plan to select an audit company to audit the Company's Financial Statements 2026:</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The General Meeting agreed to authorize the Board of Directors of the Company to select one of the following audit companies to audit the Company's Financial Statements 2026:</w:t>
      </w:r>
    </w:p>
    <w:p w:rsidR="004F16AF" w:rsidRPr="0075200F" w:rsidRDefault="00A1697C" w:rsidP="00537487">
      <w:pPr>
        <w:numPr>
          <w:ilvl w:val="0"/>
          <w:numId w:val="3"/>
        </w:numPr>
        <w:pBdr>
          <w:top w:val="nil"/>
          <w:left w:val="nil"/>
          <w:bottom w:val="nil"/>
          <w:right w:val="nil"/>
          <w:between w:val="nil"/>
        </w:pBdr>
        <w:tabs>
          <w:tab w:val="left" w:pos="720"/>
          <w:tab w:val="left" w:pos="2031"/>
        </w:tabs>
        <w:spacing w:after="120" w:line="360" w:lineRule="auto"/>
        <w:jc w:val="both"/>
        <w:rPr>
          <w:rFonts w:ascii="Arial" w:eastAsia="Arial" w:hAnsi="Arial" w:cs="Arial"/>
          <w:color w:val="010000"/>
          <w:sz w:val="20"/>
          <w:szCs w:val="20"/>
        </w:rPr>
      </w:pPr>
      <w:r>
        <w:rPr>
          <w:rFonts w:ascii="Arial" w:hAnsi="Arial" w:cs="Arial"/>
          <w:color w:val="010000"/>
          <w:sz w:val="20"/>
        </w:rPr>
        <w:t>VACO Auditing Company Limited</w:t>
      </w:r>
      <w:bookmarkStart w:id="0" w:name="_GoBack"/>
      <w:bookmarkEnd w:id="0"/>
      <w:r w:rsidR="0075200F" w:rsidRPr="0075200F">
        <w:rPr>
          <w:rFonts w:ascii="Arial" w:hAnsi="Arial" w:cs="Arial"/>
          <w:color w:val="010000"/>
          <w:sz w:val="20"/>
        </w:rPr>
        <w:t>.</w:t>
      </w:r>
    </w:p>
    <w:p w:rsidR="004F16AF" w:rsidRPr="0075200F" w:rsidRDefault="0075200F" w:rsidP="00537487">
      <w:pPr>
        <w:numPr>
          <w:ilvl w:val="0"/>
          <w:numId w:val="3"/>
        </w:numPr>
        <w:pBdr>
          <w:top w:val="nil"/>
          <w:left w:val="nil"/>
          <w:bottom w:val="nil"/>
          <w:right w:val="nil"/>
          <w:between w:val="nil"/>
        </w:pBdr>
        <w:tabs>
          <w:tab w:val="left" w:pos="720"/>
          <w:tab w:val="left" w:pos="2060"/>
        </w:tabs>
        <w:spacing w:after="120" w:line="360" w:lineRule="auto"/>
        <w:jc w:val="both"/>
        <w:rPr>
          <w:rFonts w:ascii="Arial" w:eastAsia="Arial" w:hAnsi="Arial" w:cs="Arial"/>
          <w:color w:val="010000"/>
          <w:sz w:val="20"/>
          <w:szCs w:val="20"/>
        </w:rPr>
      </w:pPr>
      <w:r w:rsidRPr="0075200F">
        <w:rPr>
          <w:rFonts w:ascii="Arial" w:hAnsi="Arial" w:cs="Arial"/>
          <w:color w:val="010000"/>
          <w:sz w:val="20"/>
        </w:rPr>
        <w:t>BDO Audit Services Company Limited</w:t>
      </w:r>
    </w:p>
    <w:p w:rsidR="004F16AF" w:rsidRPr="0075200F" w:rsidRDefault="0075200F" w:rsidP="00537487">
      <w:pPr>
        <w:numPr>
          <w:ilvl w:val="0"/>
          <w:numId w:val="3"/>
        </w:numPr>
        <w:pBdr>
          <w:top w:val="nil"/>
          <w:left w:val="nil"/>
          <w:bottom w:val="nil"/>
          <w:right w:val="nil"/>
          <w:between w:val="nil"/>
        </w:pBdr>
        <w:tabs>
          <w:tab w:val="left" w:pos="720"/>
          <w:tab w:val="left" w:pos="2056"/>
        </w:tabs>
        <w:spacing w:after="120" w:line="360" w:lineRule="auto"/>
        <w:jc w:val="both"/>
        <w:rPr>
          <w:rFonts w:ascii="Arial" w:eastAsia="Arial" w:hAnsi="Arial" w:cs="Arial"/>
          <w:color w:val="010000"/>
          <w:sz w:val="20"/>
          <w:szCs w:val="20"/>
        </w:rPr>
      </w:pPr>
      <w:r w:rsidRPr="0075200F">
        <w:rPr>
          <w:rFonts w:ascii="Arial" w:hAnsi="Arial" w:cs="Arial"/>
          <w:color w:val="010000"/>
          <w:sz w:val="20"/>
        </w:rPr>
        <w:t>Asian Financial Auditing &amp; Investment Co., Ltd.</w:t>
      </w:r>
    </w:p>
    <w:p w:rsidR="004F16AF" w:rsidRPr="0075200F" w:rsidRDefault="0075200F" w:rsidP="00537487">
      <w:pPr>
        <w:numPr>
          <w:ilvl w:val="0"/>
          <w:numId w:val="3"/>
        </w:numPr>
        <w:pBdr>
          <w:top w:val="nil"/>
          <w:left w:val="nil"/>
          <w:bottom w:val="nil"/>
          <w:right w:val="nil"/>
          <w:between w:val="nil"/>
        </w:pBdr>
        <w:tabs>
          <w:tab w:val="left" w:pos="720"/>
          <w:tab w:val="left" w:pos="2060"/>
        </w:tabs>
        <w:spacing w:after="120" w:line="360" w:lineRule="auto"/>
        <w:jc w:val="both"/>
        <w:rPr>
          <w:rFonts w:ascii="Arial" w:eastAsia="Arial" w:hAnsi="Arial" w:cs="Arial"/>
          <w:color w:val="010000"/>
          <w:sz w:val="20"/>
          <w:szCs w:val="20"/>
        </w:rPr>
      </w:pPr>
      <w:r w:rsidRPr="0075200F">
        <w:rPr>
          <w:rFonts w:ascii="Arial" w:hAnsi="Arial" w:cs="Arial"/>
          <w:color w:val="010000"/>
          <w:sz w:val="20"/>
        </w:rPr>
        <w:t>UHY Auditing &amp; Consulting Company Limited</w:t>
      </w:r>
    </w:p>
    <w:p w:rsidR="004F16AF" w:rsidRPr="0075200F" w:rsidRDefault="0075200F" w:rsidP="00537487">
      <w:pPr>
        <w:numPr>
          <w:ilvl w:val="0"/>
          <w:numId w:val="3"/>
        </w:numPr>
        <w:pBdr>
          <w:top w:val="nil"/>
          <w:left w:val="nil"/>
          <w:bottom w:val="nil"/>
          <w:right w:val="nil"/>
          <w:between w:val="nil"/>
        </w:pBdr>
        <w:tabs>
          <w:tab w:val="left" w:pos="720"/>
          <w:tab w:val="left" w:pos="2053"/>
        </w:tabs>
        <w:spacing w:after="120" w:line="360" w:lineRule="auto"/>
        <w:jc w:val="both"/>
        <w:rPr>
          <w:rFonts w:ascii="Arial" w:eastAsia="Arial" w:hAnsi="Arial" w:cs="Arial"/>
          <w:color w:val="010000"/>
          <w:sz w:val="20"/>
          <w:szCs w:val="20"/>
        </w:rPr>
      </w:pPr>
      <w:proofErr w:type="spellStart"/>
      <w:r w:rsidRPr="0075200F">
        <w:rPr>
          <w:rFonts w:ascii="Arial" w:hAnsi="Arial" w:cs="Arial"/>
          <w:color w:val="010000"/>
          <w:sz w:val="20"/>
        </w:rPr>
        <w:t>Công</w:t>
      </w:r>
      <w:proofErr w:type="spellEnd"/>
      <w:r w:rsidRPr="0075200F">
        <w:rPr>
          <w:rFonts w:ascii="Arial" w:hAnsi="Arial" w:cs="Arial"/>
          <w:color w:val="010000"/>
          <w:sz w:val="20"/>
        </w:rPr>
        <w:t xml:space="preserve"> ty TNHH </w:t>
      </w:r>
      <w:proofErr w:type="spellStart"/>
      <w:r w:rsidRPr="0075200F">
        <w:rPr>
          <w:rFonts w:ascii="Arial" w:hAnsi="Arial" w:cs="Arial"/>
          <w:color w:val="010000"/>
          <w:sz w:val="20"/>
        </w:rPr>
        <w:t>kiểm</w:t>
      </w:r>
      <w:proofErr w:type="spellEnd"/>
      <w:r w:rsidRPr="0075200F">
        <w:rPr>
          <w:rFonts w:ascii="Arial" w:hAnsi="Arial" w:cs="Arial"/>
          <w:color w:val="010000"/>
          <w:sz w:val="20"/>
        </w:rPr>
        <w:t xml:space="preserve"> </w:t>
      </w:r>
      <w:proofErr w:type="spellStart"/>
      <w:r w:rsidRPr="0075200F">
        <w:rPr>
          <w:rFonts w:ascii="Arial" w:hAnsi="Arial" w:cs="Arial"/>
          <w:color w:val="010000"/>
          <w:sz w:val="20"/>
        </w:rPr>
        <w:t>toán</w:t>
      </w:r>
      <w:proofErr w:type="spellEnd"/>
      <w:r w:rsidRPr="0075200F">
        <w:rPr>
          <w:rFonts w:ascii="Arial" w:hAnsi="Arial" w:cs="Arial"/>
          <w:color w:val="010000"/>
          <w:sz w:val="20"/>
        </w:rPr>
        <w:t xml:space="preserve"> </w:t>
      </w:r>
      <w:proofErr w:type="spellStart"/>
      <w:r w:rsidRPr="0075200F">
        <w:rPr>
          <w:rFonts w:ascii="Arial" w:hAnsi="Arial" w:cs="Arial"/>
          <w:color w:val="010000"/>
          <w:sz w:val="20"/>
        </w:rPr>
        <w:t>và</w:t>
      </w:r>
      <w:proofErr w:type="spellEnd"/>
      <w:r w:rsidRPr="0075200F">
        <w:rPr>
          <w:rFonts w:ascii="Arial" w:hAnsi="Arial" w:cs="Arial"/>
          <w:color w:val="010000"/>
          <w:sz w:val="20"/>
        </w:rPr>
        <w:t xml:space="preserve"> </w:t>
      </w:r>
      <w:proofErr w:type="spellStart"/>
      <w:r w:rsidRPr="0075200F">
        <w:rPr>
          <w:rFonts w:ascii="Arial" w:hAnsi="Arial" w:cs="Arial"/>
          <w:color w:val="010000"/>
          <w:sz w:val="20"/>
        </w:rPr>
        <w:t>tư</w:t>
      </w:r>
      <w:proofErr w:type="spellEnd"/>
      <w:r w:rsidRPr="0075200F">
        <w:rPr>
          <w:rFonts w:ascii="Arial" w:hAnsi="Arial" w:cs="Arial"/>
          <w:color w:val="010000"/>
          <w:sz w:val="20"/>
        </w:rPr>
        <w:t xml:space="preserve"> </w:t>
      </w:r>
      <w:proofErr w:type="spellStart"/>
      <w:r w:rsidRPr="0075200F">
        <w:rPr>
          <w:rFonts w:ascii="Arial" w:hAnsi="Arial" w:cs="Arial"/>
          <w:color w:val="010000"/>
          <w:sz w:val="20"/>
        </w:rPr>
        <w:t>vấn</w:t>
      </w:r>
      <w:proofErr w:type="spellEnd"/>
      <w:r w:rsidRPr="0075200F">
        <w:rPr>
          <w:rFonts w:ascii="Arial" w:hAnsi="Arial" w:cs="Arial"/>
          <w:color w:val="010000"/>
          <w:sz w:val="20"/>
        </w:rPr>
        <w:t xml:space="preserve"> </w:t>
      </w:r>
      <w:proofErr w:type="spellStart"/>
      <w:r w:rsidRPr="0075200F">
        <w:rPr>
          <w:rFonts w:ascii="Arial" w:hAnsi="Arial" w:cs="Arial"/>
          <w:color w:val="010000"/>
          <w:sz w:val="20"/>
        </w:rPr>
        <w:t>tài</w:t>
      </w:r>
      <w:proofErr w:type="spellEnd"/>
      <w:r w:rsidRPr="0075200F">
        <w:rPr>
          <w:rFonts w:ascii="Arial" w:hAnsi="Arial" w:cs="Arial"/>
          <w:color w:val="010000"/>
          <w:sz w:val="20"/>
        </w:rPr>
        <w:t xml:space="preserve"> </w:t>
      </w:r>
      <w:proofErr w:type="spellStart"/>
      <w:r w:rsidRPr="0075200F">
        <w:rPr>
          <w:rFonts w:ascii="Arial" w:hAnsi="Arial" w:cs="Arial"/>
          <w:color w:val="010000"/>
          <w:sz w:val="20"/>
        </w:rPr>
        <w:t>chính</w:t>
      </w:r>
      <w:proofErr w:type="spellEnd"/>
      <w:r w:rsidRPr="0075200F">
        <w:rPr>
          <w:rFonts w:ascii="Arial" w:hAnsi="Arial" w:cs="Arial"/>
          <w:color w:val="010000"/>
          <w:sz w:val="20"/>
        </w:rPr>
        <w:t xml:space="preserve"> </w:t>
      </w:r>
      <w:proofErr w:type="spellStart"/>
      <w:r w:rsidRPr="0075200F">
        <w:rPr>
          <w:rFonts w:ascii="Arial" w:hAnsi="Arial" w:cs="Arial"/>
          <w:color w:val="010000"/>
          <w:sz w:val="20"/>
        </w:rPr>
        <w:t>kế</w:t>
      </w:r>
      <w:proofErr w:type="spellEnd"/>
      <w:r w:rsidRPr="0075200F">
        <w:rPr>
          <w:rFonts w:ascii="Arial" w:hAnsi="Arial" w:cs="Arial"/>
          <w:color w:val="010000"/>
          <w:sz w:val="20"/>
        </w:rPr>
        <w:t xml:space="preserve"> </w:t>
      </w:r>
      <w:proofErr w:type="spellStart"/>
      <w:r w:rsidRPr="0075200F">
        <w:rPr>
          <w:rFonts w:ascii="Arial" w:hAnsi="Arial" w:cs="Arial"/>
          <w:color w:val="010000"/>
          <w:sz w:val="20"/>
        </w:rPr>
        <w:t>toán</w:t>
      </w:r>
      <w:proofErr w:type="spellEnd"/>
      <w:r w:rsidRPr="0075200F">
        <w:rPr>
          <w:rFonts w:ascii="Arial" w:hAnsi="Arial" w:cs="Arial"/>
          <w:color w:val="010000"/>
          <w:sz w:val="20"/>
        </w:rPr>
        <w:t xml:space="preserve"> ACF (tentatively translated as ACF </w:t>
      </w:r>
      <w:r w:rsidRPr="0075200F">
        <w:rPr>
          <w:rFonts w:ascii="Arial" w:hAnsi="Arial" w:cs="Arial"/>
          <w:color w:val="010000"/>
          <w:sz w:val="20"/>
        </w:rPr>
        <w:lastRenderedPageBreak/>
        <w:t>Auditing and Financial Accounting Consulting Co., Ltd)</w:t>
      </w:r>
    </w:p>
    <w:p w:rsidR="004F16AF" w:rsidRPr="0075200F" w:rsidRDefault="0075200F" w:rsidP="00537487">
      <w:pPr>
        <w:pBdr>
          <w:top w:val="nil"/>
          <w:left w:val="nil"/>
          <w:bottom w:val="nil"/>
          <w:right w:val="nil"/>
          <w:between w:val="nil"/>
        </w:pBdr>
        <w:tabs>
          <w:tab w:val="left" w:pos="720"/>
          <w:tab w:val="left" w:pos="10476"/>
        </w:tabs>
        <w:spacing w:after="120" w:line="360" w:lineRule="auto"/>
        <w:jc w:val="both"/>
        <w:rPr>
          <w:rFonts w:ascii="Arial" w:eastAsia="Arial" w:hAnsi="Arial" w:cs="Arial"/>
          <w:color w:val="010000"/>
          <w:sz w:val="20"/>
          <w:szCs w:val="20"/>
        </w:rPr>
      </w:pPr>
      <w:r w:rsidRPr="0075200F">
        <w:rPr>
          <w:rFonts w:ascii="Arial" w:hAnsi="Arial" w:cs="Arial"/>
          <w:color w:val="010000"/>
          <w:sz w:val="20"/>
        </w:rPr>
        <w:t xml:space="preserve">‎‎Article 11. Terms of enforcement: </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 xml:space="preserve">The General Meeting of Shareholders assign the Board of Directors of the Company to implement the approved contents as per the provisions of </w:t>
      </w:r>
      <w:r>
        <w:rPr>
          <w:rFonts w:ascii="Arial" w:hAnsi="Arial" w:cs="Arial"/>
          <w:color w:val="010000"/>
          <w:sz w:val="20"/>
        </w:rPr>
        <w:t xml:space="preserve">the </w:t>
      </w:r>
      <w:r w:rsidRPr="0075200F">
        <w:rPr>
          <w:rFonts w:ascii="Arial" w:hAnsi="Arial" w:cs="Arial"/>
          <w:color w:val="010000"/>
          <w:sz w:val="20"/>
        </w:rPr>
        <w:t xml:space="preserve">Law on </w:t>
      </w:r>
      <w:r>
        <w:rPr>
          <w:rFonts w:ascii="Arial" w:hAnsi="Arial" w:cs="Arial"/>
          <w:color w:val="010000"/>
          <w:sz w:val="20"/>
        </w:rPr>
        <w:t>Enterprises</w:t>
      </w:r>
      <w:r w:rsidRPr="0075200F">
        <w:rPr>
          <w:rFonts w:ascii="Arial" w:hAnsi="Arial" w:cs="Arial"/>
          <w:color w:val="010000"/>
          <w:sz w:val="20"/>
        </w:rPr>
        <w:t>, the Company’s Charter</w:t>
      </w:r>
      <w:r>
        <w:rPr>
          <w:rFonts w:ascii="Arial" w:hAnsi="Arial" w:cs="Arial"/>
          <w:color w:val="010000"/>
          <w:sz w:val="20"/>
        </w:rPr>
        <w:t>,</w:t>
      </w:r>
      <w:r w:rsidRPr="0075200F">
        <w:rPr>
          <w:rFonts w:ascii="Arial" w:hAnsi="Arial" w:cs="Arial"/>
          <w:color w:val="010000"/>
          <w:sz w:val="20"/>
        </w:rPr>
        <w:t xml:space="preserve"> and </w:t>
      </w:r>
      <w:r>
        <w:rPr>
          <w:rFonts w:ascii="Arial" w:hAnsi="Arial" w:cs="Arial"/>
          <w:color w:val="010000"/>
          <w:sz w:val="20"/>
        </w:rPr>
        <w:t xml:space="preserve">the </w:t>
      </w:r>
      <w:r w:rsidRPr="0075200F">
        <w:rPr>
          <w:rFonts w:ascii="Arial" w:hAnsi="Arial" w:cs="Arial"/>
          <w:color w:val="010000"/>
          <w:sz w:val="20"/>
        </w:rPr>
        <w:t>provisions of the law.</w:t>
      </w:r>
    </w:p>
    <w:p w:rsidR="004F16AF" w:rsidRPr="0075200F" w:rsidRDefault="0075200F" w:rsidP="0053748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5200F">
        <w:rPr>
          <w:rFonts w:ascii="Arial" w:hAnsi="Arial" w:cs="Arial"/>
          <w:color w:val="010000"/>
          <w:sz w:val="20"/>
        </w:rPr>
        <w:t>This General Mandate was approved by the General Meeting of Shareholders at 10:00 a.m. on April 15, 2026./.</w:t>
      </w:r>
    </w:p>
    <w:sectPr w:rsidR="004F16AF" w:rsidRPr="0075200F" w:rsidSect="0075200F">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auto"/>
    <w:pitch w:val="default"/>
    <w:embedRegular r:id="rId1" w:fontKey="{C00A7C73-6F9B-4310-A075-E4BF4F356EA9}"/>
    <w:embedBold r:id="rId2" w:fontKey="{4081349A-F85A-4490-B4E1-4A0076E957EE}"/>
  </w:font>
  <w:font w:name="Georgia">
    <w:panose1 w:val="02040502050405020303"/>
    <w:charset w:val="00"/>
    <w:family w:val="roman"/>
    <w:pitch w:val="variable"/>
    <w:sig w:usb0="00000287" w:usb1="00000000" w:usb2="00000000" w:usb3="00000000" w:csb0="0000009F" w:csb1="00000000"/>
    <w:embedItalic r:id="rId3" w:fontKey="{150646A5-9CDA-441A-B576-092CA2FA587C}"/>
  </w:font>
  <w:font w:name="Calibri">
    <w:panose1 w:val="020F0502020204030204"/>
    <w:charset w:val="00"/>
    <w:family w:val="swiss"/>
    <w:pitch w:val="variable"/>
    <w:sig w:usb0="E4002EFF" w:usb1="C200247B" w:usb2="00000009" w:usb3="00000000" w:csb0="000001FF" w:csb1="00000000"/>
    <w:embedRegular r:id="rId4" w:fontKey="{6EEBEB4C-E420-42E9-BBCD-43F0AA7C8EAF}"/>
  </w:font>
  <w:font w:name="Cambria">
    <w:panose1 w:val="02040503050406030204"/>
    <w:charset w:val="00"/>
    <w:family w:val="roman"/>
    <w:pitch w:val="variable"/>
    <w:sig w:usb0="E00006FF" w:usb1="420024FF" w:usb2="02000000" w:usb3="00000000" w:csb0="0000019F" w:csb1="00000000"/>
    <w:embedRegular r:id="rId5" w:fontKey="{D9449B31-920F-446B-98EF-D2BE17AF20F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A1533"/>
    <w:multiLevelType w:val="multilevel"/>
    <w:tmpl w:val="B0CC08B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4E5097"/>
    <w:multiLevelType w:val="multilevel"/>
    <w:tmpl w:val="B68A473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24732D3"/>
    <w:multiLevelType w:val="hybridMultilevel"/>
    <w:tmpl w:val="2EC472E4"/>
    <w:lvl w:ilvl="0" w:tplc="3E64DF0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14605A"/>
    <w:multiLevelType w:val="multilevel"/>
    <w:tmpl w:val="4C4A0D9A"/>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672B2851"/>
    <w:multiLevelType w:val="multilevel"/>
    <w:tmpl w:val="32EE24D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6AF"/>
    <w:rsid w:val="003E53D9"/>
    <w:rsid w:val="004F16AF"/>
    <w:rsid w:val="00537487"/>
    <w:rsid w:val="0075200F"/>
    <w:rsid w:val="00A16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6EFC"/>
  <w15:docId w15:val="{E1776D46-A5A3-4272-969A-10A8EF1C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paragraph" w:styleId="ListParagraph">
    <w:name w:val="List Paragraph"/>
    <w:basedOn w:val="Normal"/>
    <w:uiPriority w:val="34"/>
    <w:qFormat/>
    <w:rsid w:val="00752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991BJA+fHsBso2ahgr5qhY3Wkg==">CgMxLjAaJAoBMBIfCh0IB0IZCgVBcmlhbBIQQXJpYWwgVW5pY29kZSBNUzgAciExQ3JidHVvdlZxY29JdFdnam10cGNhNHdKUTltUXdqTTk=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750</Words>
  <Characters>4279</Characters>
  <Application>Microsoft Office Word</Application>
  <DocSecurity>0</DocSecurity>
  <Lines>35</Lines>
  <Paragraphs>10</Paragraphs>
  <ScaleCrop>false</ScaleCrop>
  <Company>Microsoft</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5</cp:revision>
  <dcterms:created xsi:type="dcterms:W3CDTF">2026-04-23T02:12:00Z</dcterms:created>
  <dcterms:modified xsi:type="dcterms:W3CDTF">2026-04-23T04:26:00Z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b4473dd7-c16c-4a81-a664-b542f94bf29c</vt:lpwstr>
  </property>
</Properties>
</file>