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r w:rsidRPr="004B2316">
        <w:rPr>
          <w:rFonts w:ascii="Arial" w:hAnsi="Arial" w:cs="Arial"/>
          <w:b/>
          <w:color w:val="010000"/>
          <w:sz w:val="20"/>
        </w:rPr>
        <w:t>PAI: Annual General Mandate 2026</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On April 21, 2026, Petroleum information technology telecom and automation joint stock company announced General Mandate No. 124/NQ-PAIC-DHDCD as follows:</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1. Approve the Report on the operational situation in 2025 and the operational orientation for 2026 of the Company's Board of Directors (Report No. 104/BC-HDQT dated March 30, 2026 of the Company's Board of Directors).</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2. Approve the Report on the operational situation in 2025 and the operational plan for 2026 of the Company's Supervisory Board (Report dated March 10, 2026 of the Company's Supervisory Board).</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3. Approve the Company's Financial Statements 2025 audited by VACO Auditing Company Limited.</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4. Approve the Report on production and business results in 2025 and the production and business plan for 2026 of the Manager of the Company (Report No. 79/BC-PAIC dated March 10, 2026, of the Company’s Manager), specifically the main targets of production and business in 2025 and the production and business plan for 2026 as follows:</w:t>
      </w:r>
    </w:p>
    <w:p w:rsidR="00F451CA" w:rsidRPr="004B2316" w:rsidRDefault="004B2316" w:rsidP="00A64A53">
      <w:pPr>
        <w:numPr>
          <w:ilvl w:val="0"/>
          <w:numId w:val="1"/>
        </w:numPr>
        <w:pBdr>
          <w:top w:val="nil"/>
          <w:left w:val="nil"/>
          <w:bottom w:val="nil"/>
          <w:right w:val="nil"/>
          <w:between w:val="nil"/>
        </w:pBdr>
        <w:tabs>
          <w:tab w:val="left" w:pos="720"/>
          <w:tab w:val="left" w:pos="1459"/>
        </w:tabs>
        <w:spacing w:after="120" w:line="360" w:lineRule="auto"/>
        <w:jc w:val="both"/>
        <w:rPr>
          <w:rFonts w:ascii="Arial" w:eastAsia="Arial" w:hAnsi="Arial" w:cs="Arial"/>
          <w:color w:val="010000"/>
          <w:sz w:val="20"/>
          <w:szCs w:val="20"/>
        </w:rPr>
      </w:pPr>
      <w:r w:rsidRPr="004B2316">
        <w:rPr>
          <w:rFonts w:ascii="Arial" w:hAnsi="Arial" w:cs="Arial"/>
          <w:color w:val="010000"/>
          <w:sz w:val="20"/>
        </w:rPr>
        <w:t>Production and business results in 2025:</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11"/>
        <w:gridCol w:w="2426"/>
        <w:gridCol w:w="1369"/>
        <w:gridCol w:w="1298"/>
        <w:gridCol w:w="1546"/>
        <w:gridCol w:w="1767"/>
      </w:tblGrid>
      <w:tr w:rsidR="00F451CA" w:rsidRPr="004B2316" w:rsidTr="004B2316">
        <w:tc>
          <w:tcPr>
            <w:tcW w:w="33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 xml:space="preserve">No. </w:t>
            </w:r>
          </w:p>
        </w:tc>
        <w:tc>
          <w:tcPr>
            <w:tcW w:w="1345"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Targets</w:t>
            </w:r>
          </w:p>
        </w:tc>
        <w:tc>
          <w:tcPr>
            <w:tcW w:w="75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Unit</w:t>
            </w:r>
          </w:p>
        </w:tc>
        <w:tc>
          <w:tcPr>
            <w:tcW w:w="72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Plan 2025</w:t>
            </w:r>
          </w:p>
        </w:tc>
        <w:tc>
          <w:tcPr>
            <w:tcW w:w="857"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Results 2025</w:t>
            </w:r>
          </w:p>
        </w:tc>
        <w:tc>
          <w:tcPr>
            <w:tcW w:w="98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Results/Plan (%)</w:t>
            </w:r>
          </w:p>
        </w:tc>
      </w:tr>
      <w:tr w:rsidR="00F451CA" w:rsidRPr="004B2316" w:rsidTr="004B2316">
        <w:tc>
          <w:tcPr>
            <w:tcW w:w="33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w:t>
            </w:r>
          </w:p>
        </w:tc>
        <w:tc>
          <w:tcPr>
            <w:tcW w:w="1345"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Charter capital</w:t>
            </w:r>
          </w:p>
        </w:tc>
        <w:tc>
          <w:tcPr>
            <w:tcW w:w="75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Billion VND</w:t>
            </w:r>
          </w:p>
        </w:tc>
        <w:tc>
          <w:tcPr>
            <w:tcW w:w="72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42.353</w:t>
            </w:r>
          </w:p>
        </w:tc>
        <w:tc>
          <w:tcPr>
            <w:tcW w:w="857"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42.353</w:t>
            </w:r>
          </w:p>
        </w:tc>
        <w:tc>
          <w:tcPr>
            <w:tcW w:w="98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100%</w:t>
            </w:r>
          </w:p>
        </w:tc>
      </w:tr>
      <w:tr w:rsidR="00F451CA" w:rsidRPr="004B2316" w:rsidTr="004B2316">
        <w:tc>
          <w:tcPr>
            <w:tcW w:w="33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w:t>
            </w:r>
          </w:p>
        </w:tc>
        <w:tc>
          <w:tcPr>
            <w:tcW w:w="1345"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Total revenue</w:t>
            </w:r>
          </w:p>
        </w:tc>
        <w:tc>
          <w:tcPr>
            <w:tcW w:w="75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Billion VND</w:t>
            </w:r>
          </w:p>
        </w:tc>
        <w:tc>
          <w:tcPr>
            <w:tcW w:w="72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120.000</w:t>
            </w:r>
          </w:p>
        </w:tc>
        <w:tc>
          <w:tcPr>
            <w:tcW w:w="857"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74.552</w:t>
            </w:r>
          </w:p>
        </w:tc>
        <w:tc>
          <w:tcPr>
            <w:tcW w:w="98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62%</w:t>
            </w:r>
          </w:p>
        </w:tc>
      </w:tr>
      <w:tr w:rsidR="00F451CA" w:rsidRPr="004B2316" w:rsidTr="004B2316">
        <w:tc>
          <w:tcPr>
            <w:tcW w:w="33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w:t>
            </w:r>
          </w:p>
        </w:tc>
        <w:tc>
          <w:tcPr>
            <w:tcW w:w="1345"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Profit before tax</w:t>
            </w:r>
          </w:p>
        </w:tc>
        <w:tc>
          <w:tcPr>
            <w:tcW w:w="75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Billion VND</w:t>
            </w:r>
          </w:p>
        </w:tc>
        <w:tc>
          <w:tcPr>
            <w:tcW w:w="72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6.000</w:t>
            </w:r>
          </w:p>
        </w:tc>
        <w:tc>
          <w:tcPr>
            <w:tcW w:w="857"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4.905</w:t>
            </w:r>
          </w:p>
        </w:tc>
        <w:tc>
          <w:tcPr>
            <w:tcW w:w="98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82%</w:t>
            </w:r>
          </w:p>
        </w:tc>
      </w:tr>
      <w:tr w:rsidR="00F451CA" w:rsidRPr="004B2316" w:rsidTr="004B2316">
        <w:tc>
          <w:tcPr>
            <w:tcW w:w="33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4</w:t>
            </w:r>
          </w:p>
        </w:tc>
        <w:tc>
          <w:tcPr>
            <w:tcW w:w="1345"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Profit after tax</w:t>
            </w:r>
          </w:p>
        </w:tc>
        <w:tc>
          <w:tcPr>
            <w:tcW w:w="75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Billion VND</w:t>
            </w:r>
          </w:p>
        </w:tc>
        <w:tc>
          <w:tcPr>
            <w:tcW w:w="72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5.000</w:t>
            </w:r>
          </w:p>
        </w:tc>
        <w:tc>
          <w:tcPr>
            <w:tcW w:w="857"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3.898</w:t>
            </w:r>
          </w:p>
        </w:tc>
        <w:tc>
          <w:tcPr>
            <w:tcW w:w="98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78%</w:t>
            </w:r>
          </w:p>
        </w:tc>
      </w:tr>
      <w:tr w:rsidR="00F451CA" w:rsidRPr="004B2316" w:rsidTr="004B2316">
        <w:tc>
          <w:tcPr>
            <w:tcW w:w="33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5</w:t>
            </w:r>
          </w:p>
        </w:tc>
        <w:tc>
          <w:tcPr>
            <w:tcW w:w="1345"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Dividend payment rate</w:t>
            </w:r>
          </w:p>
        </w:tc>
        <w:tc>
          <w:tcPr>
            <w:tcW w:w="759"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w:t>
            </w:r>
          </w:p>
        </w:tc>
        <w:tc>
          <w:tcPr>
            <w:tcW w:w="72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8</w:t>
            </w:r>
          </w:p>
        </w:tc>
        <w:tc>
          <w:tcPr>
            <w:tcW w:w="857"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8</w:t>
            </w:r>
          </w:p>
        </w:tc>
        <w:tc>
          <w:tcPr>
            <w:tcW w:w="980" w:type="pct"/>
            <w:shd w:val="clear" w:color="auto" w:fill="auto"/>
            <w:tcMar>
              <w:top w:w="0" w:type="dxa"/>
              <w:left w:w="0" w:type="dxa"/>
              <w:bottom w:w="0" w:type="dxa"/>
              <w:right w:w="0" w:type="dxa"/>
            </w:tcMar>
            <w:vAlign w:val="center"/>
          </w:tcPr>
          <w:p w:rsidR="00F451CA" w:rsidRPr="004B2316" w:rsidRDefault="004B2316" w:rsidP="004B2316">
            <w:pPr>
              <w:widowControl/>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100%</w:t>
            </w:r>
          </w:p>
        </w:tc>
      </w:tr>
    </w:tbl>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II. Production and business plan for 2026:</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51"/>
        <w:gridCol w:w="4527"/>
        <w:gridCol w:w="1751"/>
        <w:gridCol w:w="2188"/>
      </w:tblGrid>
      <w:tr w:rsidR="00F451CA" w:rsidRPr="004B2316" w:rsidTr="004B2316">
        <w:tc>
          <w:tcPr>
            <w:tcW w:w="306"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 xml:space="preserve">No. </w:t>
            </w:r>
          </w:p>
        </w:tc>
        <w:tc>
          <w:tcPr>
            <w:tcW w:w="2510"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Targets</w:t>
            </w:r>
          </w:p>
        </w:tc>
        <w:tc>
          <w:tcPr>
            <w:tcW w:w="97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Unit</w:t>
            </w:r>
          </w:p>
        </w:tc>
        <w:tc>
          <w:tcPr>
            <w:tcW w:w="1213"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Plan 2026</w:t>
            </w:r>
          </w:p>
        </w:tc>
      </w:tr>
      <w:tr w:rsidR="00F451CA" w:rsidRPr="004B2316" w:rsidTr="004B2316">
        <w:tc>
          <w:tcPr>
            <w:tcW w:w="306"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w:t>
            </w:r>
          </w:p>
        </w:tc>
        <w:tc>
          <w:tcPr>
            <w:tcW w:w="2510"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Charter capital</w:t>
            </w:r>
          </w:p>
        </w:tc>
        <w:tc>
          <w:tcPr>
            <w:tcW w:w="97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Billion VND</w:t>
            </w:r>
          </w:p>
        </w:tc>
        <w:tc>
          <w:tcPr>
            <w:tcW w:w="1213"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42.353</w:t>
            </w:r>
          </w:p>
        </w:tc>
      </w:tr>
      <w:tr w:rsidR="00F451CA" w:rsidRPr="004B2316" w:rsidTr="004B2316">
        <w:tc>
          <w:tcPr>
            <w:tcW w:w="306"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w:t>
            </w:r>
          </w:p>
        </w:tc>
        <w:tc>
          <w:tcPr>
            <w:tcW w:w="2510"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Total revenue</w:t>
            </w:r>
          </w:p>
        </w:tc>
        <w:tc>
          <w:tcPr>
            <w:tcW w:w="97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Billion VND</w:t>
            </w:r>
          </w:p>
        </w:tc>
        <w:tc>
          <w:tcPr>
            <w:tcW w:w="1213"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80.000</w:t>
            </w:r>
          </w:p>
        </w:tc>
      </w:tr>
      <w:tr w:rsidR="00F451CA" w:rsidRPr="004B2316" w:rsidTr="004B2316">
        <w:tc>
          <w:tcPr>
            <w:tcW w:w="306"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w:t>
            </w:r>
          </w:p>
        </w:tc>
        <w:tc>
          <w:tcPr>
            <w:tcW w:w="2510"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Profit before tax</w:t>
            </w:r>
          </w:p>
        </w:tc>
        <w:tc>
          <w:tcPr>
            <w:tcW w:w="97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Billion VND</w:t>
            </w:r>
          </w:p>
        </w:tc>
        <w:tc>
          <w:tcPr>
            <w:tcW w:w="1213"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5.000</w:t>
            </w:r>
          </w:p>
        </w:tc>
      </w:tr>
      <w:tr w:rsidR="00F451CA" w:rsidRPr="004B2316" w:rsidTr="004B2316">
        <w:tc>
          <w:tcPr>
            <w:tcW w:w="306"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4</w:t>
            </w:r>
          </w:p>
        </w:tc>
        <w:tc>
          <w:tcPr>
            <w:tcW w:w="2510"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Profit after tax</w:t>
            </w:r>
          </w:p>
        </w:tc>
        <w:tc>
          <w:tcPr>
            <w:tcW w:w="97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Billion VND</w:t>
            </w:r>
          </w:p>
        </w:tc>
        <w:tc>
          <w:tcPr>
            <w:tcW w:w="1213"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4.000</w:t>
            </w:r>
          </w:p>
        </w:tc>
      </w:tr>
      <w:tr w:rsidR="00F451CA" w:rsidRPr="004B2316" w:rsidTr="004B2316">
        <w:tc>
          <w:tcPr>
            <w:tcW w:w="306"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5</w:t>
            </w:r>
          </w:p>
        </w:tc>
        <w:tc>
          <w:tcPr>
            <w:tcW w:w="2510"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Dividend payment rate</w:t>
            </w:r>
          </w:p>
        </w:tc>
        <w:tc>
          <w:tcPr>
            <w:tcW w:w="97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w:t>
            </w:r>
          </w:p>
        </w:tc>
        <w:tc>
          <w:tcPr>
            <w:tcW w:w="1213"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8</w:t>
            </w:r>
          </w:p>
        </w:tc>
      </w:tr>
    </w:tbl>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5. Approve the profit distribution plan of the Company in 2025 according to Proposal No. 76/PAIC-</w:t>
      </w:r>
      <w:proofErr w:type="spellStart"/>
      <w:r w:rsidRPr="004B2316">
        <w:rPr>
          <w:rFonts w:ascii="Arial" w:hAnsi="Arial" w:cs="Arial"/>
          <w:color w:val="010000"/>
          <w:sz w:val="20"/>
        </w:rPr>
        <w:t>TTr</w:t>
      </w:r>
      <w:proofErr w:type="spellEnd"/>
      <w:r w:rsidRPr="004B2316">
        <w:rPr>
          <w:rFonts w:ascii="Arial" w:hAnsi="Arial" w:cs="Arial"/>
          <w:color w:val="010000"/>
          <w:sz w:val="20"/>
        </w:rPr>
        <w:t xml:space="preserve"> dated March 10, 2026 of the Manager of the Company, specifically as follows:</w:t>
      </w:r>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17"/>
        <w:gridCol w:w="4729"/>
        <w:gridCol w:w="810"/>
        <w:gridCol w:w="2761"/>
      </w:tblGrid>
      <w:tr w:rsidR="00F451CA" w:rsidRPr="004B2316" w:rsidTr="004B2316">
        <w:tc>
          <w:tcPr>
            <w:tcW w:w="398"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 xml:space="preserve">No. </w:t>
            </w:r>
          </w:p>
        </w:tc>
        <w:tc>
          <w:tcPr>
            <w:tcW w:w="2622"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Contents</w:t>
            </w:r>
          </w:p>
        </w:tc>
        <w:tc>
          <w:tcPr>
            <w:tcW w:w="449"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Unit</w:t>
            </w:r>
          </w:p>
        </w:tc>
        <w:tc>
          <w:tcPr>
            <w:tcW w:w="153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Distributed profit in 2025</w:t>
            </w:r>
          </w:p>
        </w:tc>
      </w:tr>
      <w:tr w:rsidR="00F451CA" w:rsidRPr="004B2316" w:rsidTr="004B2316">
        <w:tc>
          <w:tcPr>
            <w:tcW w:w="398"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lastRenderedPageBreak/>
              <w:t>I</w:t>
            </w:r>
          </w:p>
        </w:tc>
        <w:tc>
          <w:tcPr>
            <w:tcW w:w="2622"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Accumulated profit after tax up to 2025</w:t>
            </w:r>
          </w:p>
        </w:tc>
        <w:tc>
          <w:tcPr>
            <w:tcW w:w="449"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153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5,039,643,469</w:t>
            </w:r>
          </w:p>
        </w:tc>
      </w:tr>
      <w:tr w:rsidR="00F451CA" w:rsidRPr="004B2316" w:rsidTr="004B2316">
        <w:tc>
          <w:tcPr>
            <w:tcW w:w="398"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w:t>
            </w:r>
          </w:p>
        </w:tc>
        <w:tc>
          <w:tcPr>
            <w:tcW w:w="2622"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Undistributed profit after tax accumulated until the end of 2024</w:t>
            </w:r>
          </w:p>
        </w:tc>
        <w:tc>
          <w:tcPr>
            <w:tcW w:w="449"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153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1,141,159,014</w:t>
            </w:r>
          </w:p>
        </w:tc>
      </w:tr>
      <w:tr w:rsidR="00F451CA" w:rsidRPr="004B2316" w:rsidTr="004B2316">
        <w:tc>
          <w:tcPr>
            <w:tcW w:w="398"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w:t>
            </w:r>
          </w:p>
        </w:tc>
        <w:tc>
          <w:tcPr>
            <w:tcW w:w="2622"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Profit after tax 2025</w:t>
            </w:r>
          </w:p>
        </w:tc>
        <w:tc>
          <w:tcPr>
            <w:tcW w:w="449"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153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3,898,484,455</w:t>
            </w:r>
          </w:p>
        </w:tc>
      </w:tr>
      <w:tr w:rsidR="00F451CA" w:rsidRPr="004B2316" w:rsidTr="004B2316">
        <w:tc>
          <w:tcPr>
            <w:tcW w:w="398"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II</w:t>
            </w:r>
          </w:p>
        </w:tc>
        <w:tc>
          <w:tcPr>
            <w:tcW w:w="2622"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Profit distribution</w:t>
            </w:r>
          </w:p>
        </w:tc>
        <w:tc>
          <w:tcPr>
            <w:tcW w:w="449"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153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3,973,004,668</w:t>
            </w:r>
          </w:p>
        </w:tc>
      </w:tr>
      <w:tr w:rsidR="00F451CA" w:rsidRPr="004B2316" w:rsidTr="004B2316">
        <w:tc>
          <w:tcPr>
            <w:tcW w:w="398"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w:t>
            </w:r>
          </w:p>
        </w:tc>
        <w:tc>
          <w:tcPr>
            <w:tcW w:w="2622"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Bonus and welfare fund</w:t>
            </w:r>
          </w:p>
        </w:tc>
        <w:tc>
          <w:tcPr>
            <w:tcW w:w="449"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153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584,772,668</w:t>
            </w:r>
          </w:p>
        </w:tc>
      </w:tr>
      <w:tr w:rsidR="00F451CA" w:rsidRPr="004B2316" w:rsidTr="004B2316">
        <w:tc>
          <w:tcPr>
            <w:tcW w:w="398"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w:t>
            </w:r>
          </w:p>
        </w:tc>
        <w:tc>
          <w:tcPr>
            <w:tcW w:w="2622"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Dividend payment (8% Charter capital)</w:t>
            </w:r>
          </w:p>
        </w:tc>
        <w:tc>
          <w:tcPr>
            <w:tcW w:w="449"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153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3,388,232,000</w:t>
            </w:r>
          </w:p>
        </w:tc>
      </w:tr>
      <w:tr w:rsidR="00F451CA" w:rsidRPr="004B2316" w:rsidTr="004B2316">
        <w:tc>
          <w:tcPr>
            <w:tcW w:w="398"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III</w:t>
            </w:r>
          </w:p>
        </w:tc>
        <w:tc>
          <w:tcPr>
            <w:tcW w:w="2622"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Undistributed profits transferred to next year</w:t>
            </w:r>
          </w:p>
        </w:tc>
        <w:tc>
          <w:tcPr>
            <w:tcW w:w="449"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1531" w:type="pct"/>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1,066,638,801</w:t>
            </w:r>
          </w:p>
        </w:tc>
      </w:tr>
    </w:tbl>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6. For the selection of the audit company for PAIC in 2026, assign the Supervisory Board of the Company to directly organize a competitive quotation process to select a qualified, reputable, and experienced audit company that is approved by the Ministry of Finance to audit the Financial Statements of public companies, with priority given to company that have previously audited for PAIC, for the execution of the Company’s audit contract 2026.</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7. Approve the results of remuneration payments to non-executive members of the Board of Directors/Supervisory Board, the person in charge of governance, and the Secretariat of the Board of Directors of the Company in 2025 and the remuneration payment plan for non-executive members of the Board of Directors/Supervisory Board, the person in charge of governance, and the Secretariat of the Board of Directors of the Company in 2026, specifically as follows:</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1. 2025</w:t>
      </w:r>
    </w:p>
    <w:tbl>
      <w:tblPr>
        <w:tblStyle w:val="a2"/>
        <w:tblW w:w="5000" w:type="pct"/>
        <w:tblInd w:w="0" w:type="dxa"/>
        <w:tblLook w:val="0400" w:firstRow="0" w:lastRow="0" w:firstColumn="0" w:lastColumn="0" w:noHBand="0" w:noVBand="1"/>
      </w:tblPr>
      <w:tblGrid>
        <w:gridCol w:w="879"/>
        <w:gridCol w:w="2038"/>
        <w:gridCol w:w="1481"/>
        <w:gridCol w:w="1059"/>
        <w:gridCol w:w="1767"/>
        <w:gridCol w:w="1793"/>
      </w:tblGrid>
      <w:tr w:rsidR="004B2316" w:rsidRPr="004B2316" w:rsidTr="004B2316">
        <w:tc>
          <w:tcPr>
            <w:tcW w:w="487" w:type="pct"/>
            <w:vMerge w:val="restart"/>
            <w:tcBorders>
              <w:top w:val="single" w:sz="4" w:space="0" w:color="000000"/>
              <w:left w:val="single" w:sz="4" w:space="0" w:color="000000"/>
            </w:tcBorders>
            <w:shd w:val="clear" w:color="auto" w:fill="auto"/>
            <w:tcMar>
              <w:top w:w="0" w:type="dxa"/>
              <w:bottom w:w="0" w:type="dxa"/>
            </w:tcMar>
            <w:vAlign w:val="center"/>
          </w:tcPr>
          <w:p w:rsidR="004B2316"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 xml:space="preserve">No. </w:t>
            </w:r>
          </w:p>
        </w:tc>
        <w:tc>
          <w:tcPr>
            <w:tcW w:w="1130" w:type="pct"/>
            <w:vMerge w:val="restart"/>
            <w:tcBorders>
              <w:top w:val="single" w:sz="4" w:space="0" w:color="000000"/>
              <w:left w:val="single" w:sz="4" w:space="0" w:color="000000"/>
            </w:tcBorders>
            <w:shd w:val="clear" w:color="auto" w:fill="auto"/>
            <w:tcMar>
              <w:top w:w="0" w:type="dxa"/>
              <w:bottom w:w="0" w:type="dxa"/>
            </w:tcMar>
            <w:vAlign w:val="center"/>
          </w:tcPr>
          <w:p w:rsidR="004B2316"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Position</w:t>
            </w:r>
          </w:p>
        </w:tc>
        <w:tc>
          <w:tcPr>
            <w:tcW w:w="2388" w:type="pct"/>
            <w:gridSpan w:val="3"/>
            <w:tcBorders>
              <w:top w:val="single" w:sz="4" w:space="0" w:color="000000"/>
              <w:left w:val="single" w:sz="4" w:space="0" w:color="000000"/>
            </w:tcBorders>
            <w:shd w:val="clear" w:color="auto" w:fill="auto"/>
            <w:tcMar>
              <w:top w:w="0" w:type="dxa"/>
              <w:bottom w:w="0" w:type="dxa"/>
            </w:tcMar>
            <w:vAlign w:val="center"/>
          </w:tcPr>
          <w:p w:rsidR="004B2316"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Remuneration approved at the Annual General Meeting of Shareholders 2025</w:t>
            </w:r>
          </w:p>
        </w:tc>
        <w:tc>
          <w:tcPr>
            <w:tcW w:w="994" w:type="pct"/>
            <w:vMerge w:val="restart"/>
            <w:tcBorders>
              <w:top w:val="single" w:sz="4" w:space="0" w:color="000000"/>
              <w:left w:val="single" w:sz="4" w:space="0" w:color="000000"/>
              <w:right w:val="single" w:sz="4" w:space="0" w:color="000000"/>
            </w:tcBorders>
            <w:shd w:val="clear" w:color="auto" w:fill="auto"/>
            <w:tcMar>
              <w:top w:w="0" w:type="dxa"/>
              <w:bottom w:w="0" w:type="dxa"/>
            </w:tcMar>
            <w:vAlign w:val="center"/>
          </w:tcPr>
          <w:p w:rsidR="004B2316"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Results</w:t>
            </w:r>
          </w:p>
          <w:p w:rsidR="004B2316"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(paid)</w:t>
            </w:r>
          </w:p>
          <w:p w:rsidR="004B2316"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r>
      <w:tr w:rsidR="00F451CA" w:rsidRPr="004B2316" w:rsidTr="004B2316">
        <w:tc>
          <w:tcPr>
            <w:tcW w:w="487" w:type="pct"/>
            <w:vMerge/>
            <w:tcBorders>
              <w:top w:val="single" w:sz="4" w:space="0" w:color="000000"/>
              <w:left w:val="single" w:sz="4" w:space="0" w:color="000000"/>
            </w:tcBorders>
            <w:shd w:val="clear" w:color="auto" w:fill="auto"/>
            <w:tcMar>
              <w:top w:w="0" w:type="dxa"/>
              <w:bottom w:w="0" w:type="dxa"/>
            </w:tcMar>
            <w:vAlign w:val="center"/>
          </w:tcPr>
          <w:p w:rsidR="00F451CA" w:rsidRPr="004B2316" w:rsidRDefault="00F451CA"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p>
        </w:tc>
        <w:tc>
          <w:tcPr>
            <w:tcW w:w="1130" w:type="pct"/>
            <w:vMerge/>
            <w:tcBorders>
              <w:top w:val="single" w:sz="4" w:space="0" w:color="000000"/>
              <w:left w:val="single" w:sz="4" w:space="0" w:color="000000"/>
            </w:tcBorders>
            <w:shd w:val="clear" w:color="auto" w:fill="auto"/>
            <w:tcMar>
              <w:top w:w="0" w:type="dxa"/>
              <w:bottom w:w="0" w:type="dxa"/>
            </w:tcMar>
            <w:vAlign w:val="center"/>
          </w:tcPr>
          <w:p w:rsidR="00F451CA" w:rsidRPr="004B2316" w:rsidRDefault="00F451CA"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p>
        </w:tc>
        <w:tc>
          <w:tcPr>
            <w:tcW w:w="821" w:type="pct"/>
            <w:tcBorders>
              <w:top w:val="single" w:sz="4" w:space="0" w:color="000000"/>
              <w:left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Monthly remuneration</w:t>
            </w:r>
          </w:p>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587" w:type="pct"/>
            <w:tcBorders>
              <w:top w:val="single" w:sz="4" w:space="0" w:color="000000"/>
              <w:left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Number of persons</w:t>
            </w:r>
          </w:p>
        </w:tc>
        <w:tc>
          <w:tcPr>
            <w:tcW w:w="980" w:type="pct"/>
            <w:tcBorders>
              <w:top w:val="single" w:sz="4" w:space="0" w:color="000000"/>
              <w:left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Total</w:t>
            </w:r>
          </w:p>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(VND)</w:t>
            </w:r>
          </w:p>
        </w:tc>
        <w:tc>
          <w:tcPr>
            <w:tcW w:w="994" w:type="pct"/>
            <w:vMerge/>
            <w:tcBorders>
              <w:top w:val="single" w:sz="4" w:space="0" w:color="000000"/>
              <w:left w:val="single" w:sz="4" w:space="0" w:color="000000"/>
              <w:right w:val="single" w:sz="4" w:space="0" w:color="000000"/>
            </w:tcBorders>
            <w:shd w:val="clear" w:color="auto" w:fill="auto"/>
            <w:tcMar>
              <w:top w:w="0" w:type="dxa"/>
              <w:bottom w:w="0" w:type="dxa"/>
            </w:tcMar>
            <w:vAlign w:val="center"/>
          </w:tcPr>
          <w:p w:rsidR="00F451CA" w:rsidRPr="004B2316" w:rsidRDefault="00F451CA"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p>
        </w:tc>
      </w:tr>
      <w:tr w:rsidR="00F451CA" w:rsidRPr="004B2316" w:rsidTr="004B2316">
        <w:tc>
          <w:tcPr>
            <w:tcW w:w="4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w:t>
            </w:r>
          </w:p>
        </w:tc>
        <w:tc>
          <w:tcPr>
            <w:tcW w:w="113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Non-executive Chair of the Board of Directors</w:t>
            </w:r>
          </w:p>
        </w:tc>
        <w:tc>
          <w:tcPr>
            <w:tcW w:w="821"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3,000,000</w:t>
            </w:r>
          </w:p>
        </w:tc>
        <w:tc>
          <w:tcPr>
            <w:tcW w:w="5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w:t>
            </w:r>
          </w:p>
        </w:tc>
        <w:tc>
          <w:tcPr>
            <w:tcW w:w="98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36,000,000</w:t>
            </w:r>
          </w:p>
        </w:tc>
        <w:tc>
          <w:tcPr>
            <w:tcW w:w="994" w:type="pct"/>
            <w:tcBorders>
              <w:top w:val="single" w:sz="4" w:space="0" w:color="000000"/>
              <w:left w:val="single" w:sz="4" w:space="0" w:color="000000"/>
              <w:bottom w:val="single" w:sz="4" w:space="0" w:color="000000"/>
              <w:right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36,000,000</w:t>
            </w:r>
          </w:p>
        </w:tc>
      </w:tr>
      <w:tr w:rsidR="00F451CA" w:rsidRPr="004B2316" w:rsidTr="004B2316">
        <w:tc>
          <w:tcPr>
            <w:tcW w:w="4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w:t>
            </w:r>
          </w:p>
        </w:tc>
        <w:tc>
          <w:tcPr>
            <w:tcW w:w="113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Non-executive members of the Board of Directors</w:t>
            </w:r>
          </w:p>
        </w:tc>
        <w:tc>
          <w:tcPr>
            <w:tcW w:w="821"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2,000,000</w:t>
            </w:r>
          </w:p>
        </w:tc>
        <w:tc>
          <w:tcPr>
            <w:tcW w:w="5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5</w:t>
            </w:r>
          </w:p>
        </w:tc>
        <w:tc>
          <w:tcPr>
            <w:tcW w:w="98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120,000,000</w:t>
            </w:r>
          </w:p>
        </w:tc>
        <w:tc>
          <w:tcPr>
            <w:tcW w:w="994" w:type="pct"/>
            <w:tcBorders>
              <w:top w:val="single" w:sz="4" w:space="0" w:color="000000"/>
              <w:left w:val="single" w:sz="4" w:space="0" w:color="000000"/>
              <w:bottom w:val="single" w:sz="4" w:space="0" w:color="000000"/>
              <w:right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112,200,000</w:t>
            </w:r>
          </w:p>
        </w:tc>
      </w:tr>
      <w:tr w:rsidR="00F451CA" w:rsidRPr="004B2316" w:rsidTr="004B2316">
        <w:tc>
          <w:tcPr>
            <w:tcW w:w="4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3</w:t>
            </w:r>
          </w:p>
        </w:tc>
        <w:tc>
          <w:tcPr>
            <w:tcW w:w="113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Non-executive member of the Supervisory Board</w:t>
            </w:r>
          </w:p>
        </w:tc>
        <w:tc>
          <w:tcPr>
            <w:tcW w:w="821"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1,000,000</w:t>
            </w:r>
          </w:p>
        </w:tc>
        <w:tc>
          <w:tcPr>
            <w:tcW w:w="5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w:t>
            </w:r>
          </w:p>
        </w:tc>
        <w:tc>
          <w:tcPr>
            <w:tcW w:w="98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24,000,000</w:t>
            </w:r>
          </w:p>
        </w:tc>
        <w:tc>
          <w:tcPr>
            <w:tcW w:w="994" w:type="pct"/>
            <w:tcBorders>
              <w:top w:val="single" w:sz="4" w:space="0" w:color="000000"/>
              <w:left w:val="single" w:sz="4" w:space="0" w:color="000000"/>
              <w:bottom w:val="single" w:sz="4" w:space="0" w:color="000000"/>
              <w:right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24,000,000</w:t>
            </w:r>
          </w:p>
        </w:tc>
      </w:tr>
      <w:tr w:rsidR="00F451CA" w:rsidRPr="004B2316" w:rsidTr="004B2316">
        <w:tc>
          <w:tcPr>
            <w:tcW w:w="4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4</w:t>
            </w:r>
          </w:p>
        </w:tc>
        <w:tc>
          <w:tcPr>
            <w:tcW w:w="113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 xml:space="preserve">The person in charge </w:t>
            </w:r>
            <w:r w:rsidRPr="004B2316">
              <w:rPr>
                <w:rFonts w:ascii="Arial" w:hAnsi="Arial" w:cs="Arial"/>
                <w:color w:val="010000"/>
                <w:sz w:val="20"/>
              </w:rPr>
              <w:lastRenderedPageBreak/>
              <w:t>of corporate governance, the Secretariat of the Board of Directors</w:t>
            </w:r>
          </w:p>
        </w:tc>
        <w:tc>
          <w:tcPr>
            <w:tcW w:w="821"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lastRenderedPageBreak/>
              <w:t>1,000,000</w:t>
            </w:r>
          </w:p>
        </w:tc>
        <w:tc>
          <w:tcPr>
            <w:tcW w:w="5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w:t>
            </w:r>
          </w:p>
        </w:tc>
        <w:tc>
          <w:tcPr>
            <w:tcW w:w="98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24,000,000</w:t>
            </w:r>
          </w:p>
        </w:tc>
        <w:tc>
          <w:tcPr>
            <w:tcW w:w="994" w:type="pct"/>
            <w:tcBorders>
              <w:top w:val="single" w:sz="4" w:space="0" w:color="000000"/>
              <w:left w:val="single" w:sz="4" w:space="0" w:color="000000"/>
              <w:bottom w:val="single" w:sz="4" w:space="0" w:color="000000"/>
              <w:right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24,000,000</w:t>
            </w:r>
          </w:p>
        </w:tc>
      </w:tr>
      <w:tr w:rsidR="00F451CA" w:rsidRPr="004B2316" w:rsidTr="004B2316">
        <w:tc>
          <w:tcPr>
            <w:tcW w:w="4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F451CA" w:rsidP="004B2316">
            <w:pPr>
              <w:tabs>
                <w:tab w:val="left" w:pos="720"/>
              </w:tabs>
              <w:spacing w:after="120" w:line="360" w:lineRule="auto"/>
              <w:rPr>
                <w:rFonts w:ascii="Arial" w:eastAsia="Arial" w:hAnsi="Arial" w:cs="Arial"/>
                <w:color w:val="010000"/>
                <w:sz w:val="20"/>
                <w:szCs w:val="20"/>
              </w:rPr>
            </w:pPr>
          </w:p>
        </w:tc>
        <w:tc>
          <w:tcPr>
            <w:tcW w:w="113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tabs>
                <w:tab w:val="left" w:pos="720"/>
              </w:tabs>
              <w:spacing w:after="120" w:line="360" w:lineRule="auto"/>
              <w:rPr>
                <w:rFonts w:ascii="Arial" w:eastAsia="Arial" w:hAnsi="Arial" w:cs="Arial"/>
                <w:color w:val="010000"/>
                <w:sz w:val="20"/>
                <w:szCs w:val="20"/>
              </w:rPr>
            </w:pPr>
            <w:r w:rsidRPr="004B2316">
              <w:rPr>
                <w:rFonts w:ascii="Arial" w:eastAsia="Arial" w:hAnsi="Arial" w:cs="Arial"/>
                <w:color w:val="010000"/>
                <w:sz w:val="20"/>
                <w:szCs w:val="20"/>
              </w:rPr>
              <w:t>Total</w:t>
            </w:r>
          </w:p>
        </w:tc>
        <w:tc>
          <w:tcPr>
            <w:tcW w:w="821"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F451CA" w:rsidP="004B2316">
            <w:pPr>
              <w:tabs>
                <w:tab w:val="left" w:pos="720"/>
              </w:tabs>
              <w:spacing w:after="120" w:line="360" w:lineRule="auto"/>
              <w:rPr>
                <w:rFonts w:ascii="Arial" w:eastAsia="Arial" w:hAnsi="Arial" w:cs="Arial"/>
                <w:color w:val="010000"/>
                <w:sz w:val="20"/>
                <w:szCs w:val="20"/>
              </w:rPr>
            </w:pPr>
          </w:p>
        </w:tc>
        <w:tc>
          <w:tcPr>
            <w:tcW w:w="587"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10</w:t>
            </w:r>
          </w:p>
        </w:tc>
        <w:tc>
          <w:tcPr>
            <w:tcW w:w="980" w:type="pct"/>
            <w:tcBorders>
              <w:top w:val="single" w:sz="4" w:space="0" w:color="000000"/>
              <w:left w:val="single" w:sz="4" w:space="0" w:color="000000"/>
              <w:bottom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204,000,000</w:t>
            </w:r>
          </w:p>
        </w:tc>
        <w:tc>
          <w:tcPr>
            <w:tcW w:w="994" w:type="pct"/>
            <w:tcBorders>
              <w:top w:val="single" w:sz="4" w:space="0" w:color="000000"/>
              <w:left w:val="single" w:sz="4" w:space="0" w:color="000000"/>
              <w:bottom w:val="single" w:sz="4" w:space="0" w:color="000000"/>
              <w:right w:val="single" w:sz="4" w:space="0" w:color="000000"/>
            </w:tcBorders>
            <w:shd w:val="clear" w:color="auto" w:fill="auto"/>
            <w:tcMar>
              <w:top w:w="0" w:type="dxa"/>
              <w:bottom w:w="0" w:type="dxa"/>
            </w:tcMar>
            <w:vAlign w:val="center"/>
          </w:tcPr>
          <w:p w:rsidR="00F451CA" w:rsidRPr="004B2316" w:rsidRDefault="004B2316" w:rsidP="004B2316">
            <w:pPr>
              <w:pBdr>
                <w:top w:val="nil"/>
                <w:left w:val="nil"/>
                <w:bottom w:val="nil"/>
                <w:right w:val="nil"/>
                <w:between w:val="nil"/>
              </w:pBdr>
              <w:tabs>
                <w:tab w:val="left" w:pos="720"/>
              </w:tabs>
              <w:spacing w:after="120" w:line="360" w:lineRule="auto"/>
              <w:rPr>
                <w:rFonts w:ascii="Arial" w:eastAsia="Arial" w:hAnsi="Arial" w:cs="Arial"/>
                <w:color w:val="010000"/>
                <w:sz w:val="20"/>
                <w:szCs w:val="20"/>
              </w:rPr>
            </w:pPr>
            <w:r w:rsidRPr="004B2316">
              <w:rPr>
                <w:rFonts w:ascii="Arial" w:hAnsi="Arial" w:cs="Arial"/>
                <w:color w:val="010000"/>
                <w:sz w:val="20"/>
              </w:rPr>
              <w:t>196,200,000</w:t>
            </w:r>
          </w:p>
        </w:tc>
      </w:tr>
    </w:tbl>
    <w:p w:rsidR="00F451CA" w:rsidRPr="004B2316" w:rsidRDefault="004B2316" w:rsidP="00A64A53">
      <w:pPr>
        <w:numPr>
          <w:ilvl w:val="0"/>
          <w:numId w:val="2"/>
        </w:numPr>
        <w:pBdr>
          <w:top w:val="nil"/>
          <w:left w:val="nil"/>
          <w:bottom w:val="nil"/>
          <w:right w:val="nil"/>
          <w:between w:val="nil"/>
        </w:pBdr>
        <w:tabs>
          <w:tab w:val="left" w:pos="720"/>
          <w:tab w:val="left" w:pos="1097"/>
        </w:tabs>
        <w:spacing w:after="120" w:line="360" w:lineRule="auto"/>
        <w:jc w:val="both"/>
        <w:rPr>
          <w:rFonts w:ascii="Arial" w:eastAsia="Arial" w:hAnsi="Arial" w:cs="Arial"/>
          <w:color w:val="010000"/>
          <w:sz w:val="20"/>
          <w:szCs w:val="20"/>
        </w:rPr>
      </w:pPr>
      <w:r w:rsidRPr="004B2316">
        <w:rPr>
          <w:rFonts w:ascii="Arial" w:hAnsi="Arial" w:cs="Arial"/>
          <w:color w:val="010000"/>
          <w:sz w:val="20"/>
        </w:rPr>
        <w:t>2026</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The remuneration rates for non-executive mem</w:t>
      </w:r>
      <w:bookmarkStart w:id="0" w:name="_GoBack"/>
      <w:bookmarkEnd w:id="0"/>
      <w:r w:rsidRPr="004B2316">
        <w:rPr>
          <w:rFonts w:ascii="Arial" w:hAnsi="Arial" w:cs="Arial"/>
          <w:color w:val="010000"/>
          <w:sz w:val="20"/>
        </w:rPr>
        <w:t>bers of the Board of Directors/Supervisory Board and the Secretariat of the Board of Directors of the Company are as follows:</w:t>
      </w:r>
    </w:p>
    <w:p w:rsidR="00F451CA" w:rsidRPr="004B2316" w:rsidRDefault="004B2316" w:rsidP="00A64A53">
      <w:pPr>
        <w:numPr>
          <w:ilvl w:val="0"/>
          <w:numId w:val="3"/>
        </w:numPr>
        <w:pBdr>
          <w:top w:val="nil"/>
          <w:left w:val="nil"/>
          <w:bottom w:val="nil"/>
          <w:right w:val="nil"/>
          <w:between w:val="nil"/>
        </w:pBdr>
        <w:tabs>
          <w:tab w:val="left" w:pos="720"/>
          <w:tab w:val="left" w:pos="987"/>
        </w:tabs>
        <w:spacing w:after="120" w:line="360" w:lineRule="auto"/>
        <w:jc w:val="both"/>
        <w:rPr>
          <w:rFonts w:ascii="Arial" w:eastAsia="Arial" w:hAnsi="Arial" w:cs="Arial"/>
          <w:color w:val="010000"/>
          <w:sz w:val="20"/>
          <w:szCs w:val="20"/>
        </w:rPr>
      </w:pPr>
      <w:r w:rsidRPr="004B2316">
        <w:rPr>
          <w:rFonts w:ascii="Arial" w:hAnsi="Arial" w:cs="Arial"/>
          <w:color w:val="010000"/>
          <w:sz w:val="20"/>
        </w:rPr>
        <w:t>The Chair of the Board of Directors (non-executive): VND3,000,000/person/month</w:t>
      </w:r>
    </w:p>
    <w:p w:rsidR="00F451CA" w:rsidRPr="004B2316" w:rsidRDefault="004B2316" w:rsidP="00A64A53">
      <w:pPr>
        <w:numPr>
          <w:ilvl w:val="0"/>
          <w:numId w:val="3"/>
        </w:numPr>
        <w:pBdr>
          <w:top w:val="nil"/>
          <w:left w:val="nil"/>
          <w:bottom w:val="nil"/>
          <w:right w:val="nil"/>
          <w:between w:val="nil"/>
        </w:pBdr>
        <w:tabs>
          <w:tab w:val="left" w:pos="720"/>
          <w:tab w:val="left" w:pos="987"/>
        </w:tabs>
        <w:spacing w:after="120" w:line="360" w:lineRule="auto"/>
        <w:jc w:val="both"/>
        <w:rPr>
          <w:rFonts w:ascii="Arial" w:eastAsia="Arial" w:hAnsi="Arial" w:cs="Arial"/>
          <w:color w:val="010000"/>
          <w:sz w:val="20"/>
          <w:szCs w:val="20"/>
        </w:rPr>
      </w:pPr>
      <w:r w:rsidRPr="004B2316">
        <w:rPr>
          <w:rFonts w:ascii="Arial" w:hAnsi="Arial" w:cs="Arial"/>
          <w:color w:val="010000"/>
          <w:sz w:val="20"/>
        </w:rPr>
        <w:t>Non-executive members of the Board of Directors: VND2,000,000/person/month</w:t>
      </w:r>
    </w:p>
    <w:p w:rsidR="00F451CA" w:rsidRPr="004B2316" w:rsidRDefault="004B2316" w:rsidP="00A64A53">
      <w:pPr>
        <w:numPr>
          <w:ilvl w:val="0"/>
          <w:numId w:val="3"/>
        </w:numPr>
        <w:pBdr>
          <w:top w:val="nil"/>
          <w:left w:val="nil"/>
          <w:bottom w:val="nil"/>
          <w:right w:val="nil"/>
          <w:between w:val="nil"/>
        </w:pBdr>
        <w:tabs>
          <w:tab w:val="left" w:pos="720"/>
          <w:tab w:val="left" w:pos="987"/>
        </w:tabs>
        <w:spacing w:after="120" w:line="360" w:lineRule="auto"/>
        <w:jc w:val="both"/>
        <w:rPr>
          <w:rFonts w:ascii="Arial" w:eastAsia="Arial" w:hAnsi="Arial" w:cs="Arial"/>
          <w:color w:val="010000"/>
          <w:sz w:val="20"/>
          <w:szCs w:val="20"/>
        </w:rPr>
      </w:pPr>
      <w:r w:rsidRPr="004B2316">
        <w:rPr>
          <w:rFonts w:ascii="Arial" w:hAnsi="Arial" w:cs="Arial"/>
          <w:color w:val="010000"/>
          <w:sz w:val="20"/>
        </w:rPr>
        <w:t>Non-executive member of the Supervisory Board: VND1,000,000/person/month</w:t>
      </w:r>
    </w:p>
    <w:p w:rsidR="00F451CA" w:rsidRPr="004B2316" w:rsidRDefault="004B2316" w:rsidP="00A64A53">
      <w:pPr>
        <w:numPr>
          <w:ilvl w:val="0"/>
          <w:numId w:val="3"/>
        </w:numPr>
        <w:pBdr>
          <w:top w:val="nil"/>
          <w:left w:val="nil"/>
          <w:bottom w:val="nil"/>
          <w:right w:val="nil"/>
          <w:between w:val="nil"/>
        </w:pBdr>
        <w:tabs>
          <w:tab w:val="left" w:pos="720"/>
          <w:tab w:val="left" w:pos="992"/>
        </w:tabs>
        <w:spacing w:after="120" w:line="360" w:lineRule="auto"/>
        <w:jc w:val="both"/>
        <w:rPr>
          <w:rFonts w:ascii="Arial" w:eastAsia="Arial" w:hAnsi="Arial" w:cs="Arial"/>
          <w:color w:val="010000"/>
          <w:sz w:val="20"/>
          <w:szCs w:val="20"/>
        </w:rPr>
      </w:pPr>
      <w:bookmarkStart w:id="1" w:name="_heading=h.izkmdmql6g8p"/>
      <w:bookmarkEnd w:id="1"/>
      <w:r w:rsidRPr="004B2316">
        <w:rPr>
          <w:rFonts w:ascii="Arial" w:hAnsi="Arial" w:cs="Arial"/>
          <w:color w:val="010000"/>
          <w:sz w:val="20"/>
        </w:rPr>
        <w:t>The person in charge of corporate governance, the Secretariat of the Board of Directors: VND1,000,000/person/month</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Remuneration for non-executive members of the Board of Directors/Supervisory Board and the person in charge of corporate governance, the Secretariat of the Board of Directors is paid at the end of each quarter.</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For executive members of the Board of Directors and Supervisory Board, salaries are paid according to the Company's current salary and bonus regulations.</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8. The General Meeting of Shareholders approved the dismissal and replacement appointment of members of the Company's Supervisory Board according to Proposal No. 114/</w:t>
      </w:r>
      <w:proofErr w:type="spellStart"/>
      <w:r w:rsidRPr="004B2316">
        <w:rPr>
          <w:rFonts w:ascii="Arial" w:hAnsi="Arial" w:cs="Arial"/>
          <w:color w:val="010000"/>
          <w:sz w:val="20"/>
        </w:rPr>
        <w:t>TTr</w:t>
      </w:r>
      <w:proofErr w:type="spellEnd"/>
      <w:r w:rsidRPr="004B2316">
        <w:rPr>
          <w:rFonts w:ascii="Arial" w:hAnsi="Arial" w:cs="Arial"/>
          <w:color w:val="010000"/>
          <w:sz w:val="20"/>
        </w:rPr>
        <w:t>-HDQT dated April 15, 2026 of the Company's Board of Directors, specifically as follows:</w:t>
      </w:r>
    </w:p>
    <w:p w:rsidR="00F451CA" w:rsidRPr="004B2316" w:rsidRDefault="004B2316" w:rsidP="00A64A53">
      <w:pPr>
        <w:numPr>
          <w:ilvl w:val="0"/>
          <w:numId w:val="4"/>
        </w:numPr>
        <w:pBdr>
          <w:top w:val="nil"/>
          <w:left w:val="nil"/>
          <w:bottom w:val="nil"/>
          <w:right w:val="nil"/>
          <w:between w:val="nil"/>
        </w:pBdr>
        <w:tabs>
          <w:tab w:val="left" w:pos="720"/>
          <w:tab w:val="left" w:pos="1088"/>
        </w:tabs>
        <w:spacing w:after="120" w:line="360" w:lineRule="auto"/>
        <w:jc w:val="both"/>
        <w:rPr>
          <w:rFonts w:ascii="Arial" w:eastAsia="Arial" w:hAnsi="Arial" w:cs="Arial"/>
          <w:color w:val="010000"/>
          <w:sz w:val="20"/>
          <w:szCs w:val="20"/>
        </w:rPr>
      </w:pPr>
      <w:r w:rsidRPr="004B2316">
        <w:rPr>
          <w:rFonts w:ascii="Arial" w:hAnsi="Arial" w:cs="Arial"/>
          <w:color w:val="010000"/>
          <w:sz w:val="20"/>
        </w:rPr>
        <w:t xml:space="preserve">Dismiss Ms. Nguyen Thi Huong Lan, born on December 3, 1975, as a non-executive member of the Supervisory Board of PAIC for the term 2024-2029, as requested by </w:t>
      </w:r>
      <w:proofErr w:type="spellStart"/>
      <w:r w:rsidRPr="004B2316">
        <w:rPr>
          <w:rFonts w:ascii="Arial" w:hAnsi="Arial" w:cs="Arial"/>
          <w:color w:val="010000"/>
          <w:sz w:val="20"/>
        </w:rPr>
        <w:t>Petrovietnam</w:t>
      </w:r>
      <w:proofErr w:type="spellEnd"/>
      <w:r w:rsidRPr="004B2316">
        <w:rPr>
          <w:rFonts w:ascii="Arial" w:hAnsi="Arial" w:cs="Arial"/>
          <w:color w:val="010000"/>
          <w:sz w:val="20"/>
        </w:rPr>
        <w:t xml:space="preserve"> Fertilizer and Chemicals Corporation in Official Dispatch No. 26-1045/PBHC-QTNL dated April 14, 2026.</w:t>
      </w:r>
    </w:p>
    <w:p w:rsidR="00F451CA" w:rsidRPr="004B2316" w:rsidRDefault="004B2316" w:rsidP="00A64A53">
      <w:pPr>
        <w:numPr>
          <w:ilvl w:val="0"/>
          <w:numId w:val="4"/>
        </w:numPr>
        <w:pBdr>
          <w:top w:val="nil"/>
          <w:left w:val="nil"/>
          <w:bottom w:val="nil"/>
          <w:right w:val="nil"/>
          <w:between w:val="nil"/>
        </w:pBdr>
        <w:tabs>
          <w:tab w:val="left" w:pos="720"/>
          <w:tab w:val="left" w:pos="1088"/>
        </w:tabs>
        <w:spacing w:after="120" w:line="360" w:lineRule="auto"/>
        <w:jc w:val="both"/>
        <w:rPr>
          <w:rFonts w:ascii="Arial" w:eastAsia="Arial" w:hAnsi="Arial" w:cs="Arial"/>
          <w:color w:val="010000"/>
          <w:sz w:val="20"/>
          <w:szCs w:val="20"/>
        </w:rPr>
      </w:pPr>
      <w:r w:rsidRPr="004B2316">
        <w:rPr>
          <w:rFonts w:ascii="Arial" w:hAnsi="Arial" w:cs="Arial"/>
          <w:color w:val="010000"/>
          <w:sz w:val="20"/>
        </w:rPr>
        <w:t xml:space="preserve">Appoint Ms. Nghiem Thi Ngoc Hoa, born on February 2, 1985, representing 360,000 shares of the capital contribution of </w:t>
      </w:r>
      <w:proofErr w:type="spellStart"/>
      <w:r w:rsidRPr="004B2316">
        <w:rPr>
          <w:rFonts w:ascii="Arial" w:hAnsi="Arial" w:cs="Arial"/>
          <w:color w:val="010000"/>
          <w:sz w:val="20"/>
        </w:rPr>
        <w:t>Petrovietnam</w:t>
      </w:r>
      <w:proofErr w:type="spellEnd"/>
      <w:r w:rsidRPr="004B2316">
        <w:rPr>
          <w:rFonts w:ascii="Arial" w:hAnsi="Arial" w:cs="Arial"/>
          <w:color w:val="010000"/>
          <w:sz w:val="20"/>
        </w:rPr>
        <w:t xml:space="preserve"> Fertilizer and Chemicals Corporation in PAIC, equivalent to 8.50% of PAIC's charter capital, to the position of non-executive Member of the Supervisory Board of PAIC, term 2024-2029, replacing Ms. Nguyen Thi Huong Lan, as requested by </w:t>
      </w:r>
      <w:proofErr w:type="spellStart"/>
      <w:r w:rsidRPr="004B2316">
        <w:rPr>
          <w:rFonts w:ascii="Arial" w:hAnsi="Arial" w:cs="Arial"/>
          <w:color w:val="010000"/>
          <w:sz w:val="20"/>
        </w:rPr>
        <w:t>Petrovietnam</w:t>
      </w:r>
      <w:proofErr w:type="spellEnd"/>
      <w:r w:rsidRPr="004B2316">
        <w:rPr>
          <w:rFonts w:ascii="Arial" w:hAnsi="Arial" w:cs="Arial"/>
          <w:color w:val="010000"/>
          <w:sz w:val="20"/>
        </w:rPr>
        <w:t xml:space="preserve"> Fertilizer and Chemicals Corporation in Official Dispatch No. 26-1045/PBHC-QTNL dated April 14, 2026.</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9. Assign the Board of Directors to direct the Company's executives to effectively implement the Annual General Mandate 2026, considering the actual situation and production and business tasks to adjust the production and business plan 2026 accordingly.</w:t>
      </w:r>
    </w:p>
    <w:p w:rsidR="00F451CA" w:rsidRPr="004B2316" w:rsidRDefault="004B2316" w:rsidP="00A64A53">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4B2316">
        <w:rPr>
          <w:rFonts w:ascii="Arial" w:hAnsi="Arial" w:cs="Arial"/>
          <w:color w:val="010000"/>
          <w:sz w:val="20"/>
        </w:rPr>
        <w:t>‎‎Article 10. This General Mandate takes effect from the date of its signing.</w:t>
      </w:r>
    </w:p>
    <w:sectPr w:rsidR="00F451CA" w:rsidRPr="004B2316" w:rsidSect="004B2316">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embedRegular r:id="rId1" w:fontKey="{62DB8D26-6F88-467C-B10B-422D97B4BB9F}"/>
    <w:embedBold r:id="rId2" w:fontKey="{BD7254FA-6A71-41E4-8B2E-B2657A4B90B7}"/>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FBA30EB-A1B2-42F4-827E-D1B97282EAC5}"/>
  </w:font>
  <w:font w:name="Calibri">
    <w:panose1 w:val="020F0502020204030204"/>
    <w:charset w:val="00"/>
    <w:family w:val="swiss"/>
    <w:pitch w:val="variable"/>
    <w:sig w:usb0="E4002EFF" w:usb1="C200247B" w:usb2="00000009" w:usb3="00000000" w:csb0="000001FF" w:csb1="00000000"/>
    <w:embedRegular r:id="rId4" w:fontKey="{26990537-BF84-4566-B946-87C69C55BB81}"/>
  </w:font>
  <w:font w:name="Cambria">
    <w:panose1 w:val="02040503050406030204"/>
    <w:charset w:val="00"/>
    <w:family w:val="roman"/>
    <w:pitch w:val="variable"/>
    <w:sig w:usb0="E00006FF" w:usb1="420024FF" w:usb2="02000000" w:usb3="00000000" w:csb0="0000019F" w:csb1="00000000"/>
    <w:embedRegular r:id="rId5" w:fontKey="{012BC21E-7D2C-4818-AA06-EC6947C40098}"/>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37443"/>
    <w:multiLevelType w:val="multilevel"/>
    <w:tmpl w:val="F48EB4AA"/>
    <w:lvl w:ilvl="0">
      <w:start w:val="1"/>
      <w:numFmt w:val="upperRoman"/>
      <w:lvlText w:val="%1."/>
      <w:lvlJc w:val="left"/>
      <w:pPr>
        <w:ind w:left="0" w:firstLine="0"/>
      </w:pPr>
      <w:rPr>
        <w:rFonts w:ascii="Arial" w:eastAsia="Arial" w:hAnsi="Arial" w:cs="Arial"/>
        <w:b w:val="0"/>
        <w:bCs w:val="0"/>
        <w:i w:val="0"/>
        <w:iCs w:val="0"/>
        <w:smallCaps w:val="0"/>
        <w:strike w:val="0"/>
        <w:color w:val="353939"/>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2CFC708E"/>
    <w:multiLevelType w:val="multilevel"/>
    <w:tmpl w:val="71EA9C88"/>
    <w:lvl w:ilvl="0">
      <w:start w:val="1"/>
      <w:numFmt w:val="decimal"/>
      <w:lvlText w:val="%1."/>
      <w:lvlJc w:val="left"/>
      <w:pPr>
        <w:ind w:left="0" w:firstLine="0"/>
      </w:pPr>
      <w:rPr>
        <w:rFonts w:ascii="Arial" w:eastAsia="Arial" w:hAnsi="Arial" w:cs="Arial"/>
        <w:b w:val="0"/>
        <w:bCs w:val="0"/>
        <w:i w:val="0"/>
        <w:iCs w:val="0"/>
        <w:smallCaps w:val="0"/>
        <w:strike w:val="0"/>
        <w:color w:val="35393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28539BA"/>
    <w:multiLevelType w:val="multilevel"/>
    <w:tmpl w:val="92DEDB1A"/>
    <w:lvl w:ilvl="0">
      <w:start w:val="2"/>
      <w:numFmt w:val="decimal"/>
      <w:lvlText w:val="%1."/>
      <w:lvlJc w:val="left"/>
      <w:pPr>
        <w:ind w:left="0" w:firstLine="0"/>
      </w:pPr>
      <w:rPr>
        <w:rFonts w:ascii="Arial" w:eastAsia="Arial" w:hAnsi="Arial" w:cs="Arial"/>
        <w:b w:val="0"/>
        <w:bCs w:val="0"/>
        <w:i w:val="0"/>
        <w:iCs w:val="0"/>
        <w:smallCaps w:val="0"/>
        <w:strike w:val="0"/>
        <w:color w:val="353939"/>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7D493822"/>
    <w:multiLevelType w:val="multilevel"/>
    <w:tmpl w:val="4CC45E20"/>
    <w:lvl w:ilvl="0">
      <w:start w:val="1"/>
      <w:numFmt w:val="bullet"/>
      <w:lvlText w:val="-"/>
      <w:lvlJc w:val="left"/>
      <w:pPr>
        <w:ind w:left="0" w:firstLine="0"/>
      </w:pPr>
      <w:rPr>
        <w:rFonts w:ascii="Arial" w:eastAsia="Arial" w:hAnsi="Arial" w:cs="Arial"/>
        <w:b w:val="0"/>
        <w:bCs w:val="0"/>
        <w:i w:val="0"/>
        <w:iCs w:val="0"/>
        <w:smallCaps w:val="0"/>
        <w:strike w:val="0"/>
        <w:color w:val="353939"/>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1CA"/>
    <w:rsid w:val="004B2316"/>
    <w:rsid w:val="00A64A53"/>
    <w:rsid w:val="00F45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1C8518-810A-4F4E-A51A-060E5C9BC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table" w:customStyle="1" w:styleId="a2">
    <w:basedOn w:val="TableNormal0"/>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F1yb2tCwB53951rdaO92V0rUMw==">CgMxLjAyDmguaXprbWRtcWw2ZzhwOAByITEzWVBQanNjZTc5Z3BRRjh0VEtiOGh1ejg4eTUxTXFKNg==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903</Words>
  <Characters>5150</Characters>
  <Application>Microsoft Office Word</Application>
  <DocSecurity>0</DocSecurity>
  <Lines>42</Lines>
  <Paragraphs>12</Paragraphs>
  <ScaleCrop>false</ScaleCrop>
  <Company>Microsoft</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Tran Ha Anh</cp:lastModifiedBy>
  <cp:revision>3</cp:revision>
  <dcterms:created xsi:type="dcterms:W3CDTF">2026-04-28T01:56:00Z</dcterms:created>
  <dcterms:modified xsi:type="dcterms:W3CDTF">2026-04-28T03:11:00Z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b479cceb-3d6e-45a0-ac2e-8624dcdcc33b</vt:lpwstr>
  </property>
</Properties>
</file>