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75AC1" w14:textId="77777777" w:rsidR="005A6C86" w:rsidRPr="00994337" w:rsidRDefault="00994337" w:rsidP="00985EFE">
      <w:pPr>
        <w:pBdr>
          <w:top w:val="nil"/>
          <w:left w:val="nil"/>
          <w:bottom w:val="nil"/>
          <w:right w:val="nil"/>
          <w:between w:val="nil"/>
        </w:pBdr>
        <w:tabs>
          <w:tab w:val="left" w:pos="432"/>
          <w:tab w:val="left" w:pos="5973"/>
        </w:tabs>
        <w:spacing w:after="120" w:line="360" w:lineRule="auto"/>
        <w:jc w:val="both"/>
        <w:rPr>
          <w:rFonts w:ascii="Arial" w:eastAsia="Arial" w:hAnsi="Arial" w:cs="Arial"/>
          <w:b/>
          <w:bCs/>
          <w:color w:val="010000"/>
          <w:sz w:val="20"/>
          <w:szCs w:val="20"/>
        </w:rPr>
      </w:pPr>
      <w:r w:rsidRPr="00994337">
        <w:rPr>
          <w:rFonts w:ascii="Arial" w:hAnsi="Arial" w:cs="Arial"/>
          <w:b/>
          <w:color w:val="010000"/>
          <w:sz w:val="20"/>
        </w:rPr>
        <w:t>SEP: Annual General Mandate 2026</w:t>
      </w:r>
    </w:p>
    <w:p w14:paraId="422152CA" w14:textId="77777777" w:rsidR="005A6C86" w:rsidRPr="00994337" w:rsidRDefault="00994337" w:rsidP="00985EFE">
      <w:pPr>
        <w:pBdr>
          <w:top w:val="nil"/>
          <w:left w:val="nil"/>
          <w:bottom w:val="nil"/>
          <w:right w:val="nil"/>
          <w:between w:val="nil"/>
        </w:pBdr>
        <w:tabs>
          <w:tab w:val="left" w:pos="432"/>
          <w:tab w:val="left" w:pos="5973"/>
        </w:tabs>
        <w:spacing w:after="120" w:line="360" w:lineRule="auto"/>
        <w:jc w:val="both"/>
        <w:rPr>
          <w:rFonts w:ascii="Arial" w:eastAsia="Arial" w:hAnsi="Arial" w:cs="Arial"/>
          <w:color w:val="010000"/>
          <w:sz w:val="20"/>
          <w:szCs w:val="20"/>
        </w:rPr>
      </w:pPr>
      <w:r w:rsidRPr="00994337">
        <w:rPr>
          <w:rFonts w:ascii="Arial" w:hAnsi="Arial" w:cs="Arial"/>
          <w:color w:val="010000"/>
          <w:sz w:val="20"/>
        </w:rPr>
        <w:t xml:space="preserve">On April 24, 2026, Quang Tri general trading joint stock company announced General Mandate No. 31/2026/NQ-DHDCD as follows: </w:t>
      </w:r>
    </w:p>
    <w:p w14:paraId="1371DD76"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1. Approve the Report on the operation of the Board of Directors in 2025 and the operating orientation in 2026. Report on the activities of the Supervisory Board in 2025 and the operational plan for 2026;</w:t>
      </w:r>
    </w:p>
    <w:p w14:paraId="1249B5B0"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In 2025, the Company operated in a volatile market environment with high costs. The Board of Directors managed flexibly, maintaining stable production and business activities. Revenue reached VND1,564 billion, exceeding the set plan. Profit reached VND5,034 billion, basically achieving the target. Financial management, cost control, and cash flow were ensured to be safe. Invest in upgrading the factory and equipment were implemented promptly, improve production efficiency. Employee jobs, income, and welfare remained stable.</w:t>
      </w:r>
    </w:p>
    <w:p w14:paraId="30CBCECB"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In 2026, the market is projected to remain challenging, with increased competition. The company aims for revenue of VND1,728 billion and profit of VND5 billion. The main focus is on improving efficiency, expanding the market, and achieving sustainable development.</w:t>
      </w:r>
    </w:p>
    <w:p w14:paraId="15C921E2"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2. Approve Report on production and business activities results in 2025, Audited Financial Statements 2025 Directions and business plan for 2026 with the following basic criteria:</w:t>
      </w:r>
    </w:p>
    <w:p w14:paraId="6025904D"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1. Production and business results 2025:</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34"/>
        <w:gridCol w:w="1542"/>
        <w:gridCol w:w="1969"/>
        <w:gridCol w:w="1472"/>
      </w:tblGrid>
      <w:tr w:rsidR="005A6C86" w:rsidRPr="00994337" w14:paraId="729DA6DE" w14:textId="77777777" w:rsidTr="00994337">
        <w:tc>
          <w:tcPr>
            <w:tcW w:w="2237" w:type="pct"/>
            <w:tcMar>
              <w:top w:w="0" w:type="dxa"/>
              <w:bottom w:w="0" w:type="dxa"/>
            </w:tcMar>
            <w:vAlign w:val="center"/>
          </w:tcPr>
          <w:p w14:paraId="1C1DB277"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Targets</w:t>
            </w:r>
          </w:p>
        </w:tc>
        <w:tc>
          <w:tcPr>
            <w:tcW w:w="855" w:type="pct"/>
            <w:tcMar>
              <w:top w:w="0" w:type="dxa"/>
              <w:bottom w:w="0" w:type="dxa"/>
            </w:tcMar>
            <w:vAlign w:val="center"/>
          </w:tcPr>
          <w:p w14:paraId="3A544690"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Plan</w:t>
            </w:r>
          </w:p>
        </w:tc>
        <w:tc>
          <w:tcPr>
            <w:tcW w:w="1092" w:type="pct"/>
            <w:tcMar>
              <w:top w:w="0" w:type="dxa"/>
              <w:bottom w:w="0" w:type="dxa"/>
            </w:tcMar>
            <w:vAlign w:val="center"/>
          </w:tcPr>
          <w:p w14:paraId="4E23D927"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Results</w:t>
            </w:r>
          </w:p>
        </w:tc>
        <w:tc>
          <w:tcPr>
            <w:tcW w:w="816" w:type="pct"/>
            <w:tcMar>
              <w:top w:w="0" w:type="dxa"/>
              <w:bottom w:w="0" w:type="dxa"/>
            </w:tcMar>
            <w:vAlign w:val="center"/>
          </w:tcPr>
          <w:p w14:paraId="504E9B03"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Results/Plan</w:t>
            </w:r>
          </w:p>
        </w:tc>
      </w:tr>
      <w:tr w:rsidR="005A6C86" w:rsidRPr="00994337" w14:paraId="6BDE40AE" w14:textId="77777777" w:rsidTr="00994337">
        <w:tc>
          <w:tcPr>
            <w:tcW w:w="2237" w:type="pct"/>
            <w:tcMar>
              <w:top w:w="0" w:type="dxa"/>
              <w:bottom w:w="0" w:type="dxa"/>
            </w:tcMar>
            <w:vAlign w:val="center"/>
          </w:tcPr>
          <w:p w14:paraId="25177841"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Revenue (billion VND)</w:t>
            </w:r>
          </w:p>
        </w:tc>
        <w:tc>
          <w:tcPr>
            <w:tcW w:w="855" w:type="pct"/>
            <w:tcMar>
              <w:top w:w="0" w:type="dxa"/>
              <w:bottom w:w="0" w:type="dxa"/>
            </w:tcMar>
            <w:vAlign w:val="center"/>
          </w:tcPr>
          <w:p w14:paraId="106D14C8"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1,501</w:t>
            </w:r>
          </w:p>
        </w:tc>
        <w:tc>
          <w:tcPr>
            <w:tcW w:w="1092" w:type="pct"/>
            <w:tcMar>
              <w:top w:w="0" w:type="dxa"/>
              <w:bottom w:w="0" w:type="dxa"/>
            </w:tcMar>
            <w:vAlign w:val="center"/>
          </w:tcPr>
          <w:p w14:paraId="43C2F4DA"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1,564</w:t>
            </w:r>
          </w:p>
        </w:tc>
        <w:tc>
          <w:tcPr>
            <w:tcW w:w="816" w:type="pct"/>
            <w:tcMar>
              <w:top w:w="0" w:type="dxa"/>
              <w:bottom w:w="0" w:type="dxa"/>
            </w:tcMar>
            <w:vAlign w:val="center"/>
          </w:tcPr>
          <w:p w14:paraId="293831E1"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104</w:t>
            </w:r>
          </w:p>
        </w:tc>
      </w:tr>
      <w:tr w:rsidR="005A6C86" w:rsidRPr="00994337" w14:paraId="10303CA2" w14:textId="77777777" w:rsidTr="00994337">
        <w:tc>
          <w:tcPr>
            <w:tcW w:w="2237" w:type="pct"/>
            <w:tcMar>
              <w:top w:w="0" w:type="dxa"/>
              <w:bottom w:w="0" w:type="dxa"/>
            </w:tcMar>
            <w:vAlign w:val="center"/>
          </w:tcPr>
          <w:p w14:paraId="4864390A"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Profit after tax (billion VND)</w:t>
            </w:r>
          </w:p>
        </w:tc>
        <w:tc>
          <w:tcPr>
            <w:tcW w:w="855" w:type="pct"/>
            <w:tcMar>
              <w:top w:w="0" w:type="dxa"/>
              <w:bottom w:w="0" w:type="dxa"/>
            </w:tcMar>
            <w:vAlign w:val="center"/>
          </w:tcPr>
          <w:p w14:paraId="47ED08C7"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w:t>
            </w:r>
          </w:p>
        </w:tc>
        <w:tc>
          <w:tcPr>
            <w:tcW w:w="1092" w:type="pct"/>
            <w:tcMar>
              <w:top w:w="0" w:type="dxa"/>
              <w:bottom w:w="0" w:type="dxa"/>
            </w:tcMar>
            <w:vAlign w:val="center"/>
          </w:tcPr>
          <w:p w14:paraId="6B769375"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5.034</w:t>
            </w:r>
          </w:p>
        </w:tc>
        <w:tc>
          <w:tcPr>
            <w:tcW w:w="816" w:type="pct"/>
            <w:tcMar>
              <w:top w:w="0" w:type="dxa"/>
              <w:bottom w:w="0" w:type="dxa"/>
            </w:tcMar>
            <w:vAlign w:val="center"/>
          </w:tcPr>
          <w:p w14:paraId="3F03CF30"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100.6</w:t>
            </w:r>
          </w:p>
        </w:tc>
      </w:tr>
      <w:tr w:rsidR="005A6C86" w:rsidRPr="00994337" w14:paraId="6A3A00CB" w14:textId="77777777" w:rsidTr="00994337">
        <w:tc>
          <w:tcPr>
            <w:tcW w:w="2237" w:type="pct"/>
            <w:tcMar>
              <w:top w:w="0" w:type="dxa"/>
              <w:bottom w:w="0" w:type="dxa"/>
            </w:tcMar>
            <w:vAlign w:val="center"/>
          </w:tcPr>
          <w:p w14:paraId="2592BE50"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Payables to State budget (Billion VND)</w:t>
            </w:r>
          </w:p>
        </w:tc>
        <w:tc>
          <w:tcPr>
            <w:tcW w:w="855" w:type="pct"/>
            <w:tcMar>
              <w:top w:w="0" w:type="dxa"/>
              <w:bottom w:w="0" w:type="dxa"/>
            </w:tcMar>
            <w:vAlign w:val="center"/>
          </w:tcPr>
          <w:p w14:paraId="099BC407"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75</w:t>
            </w:r>
          </w:p>
        </w:tc>
        <w:tc>
          <w:tcPr>
            <w:tcW w:w="1092" w:type="pct"/>
            <w:tcMar>
              <w:top w:w="0" w:type="dxa"/>
              <w:bottom w:w="0" w:type="dxa"/>
            </w:tcMar>
            <w:vAlign w:val="center"/>
          </w:tcPr>
          <w:p w14:paraId="37BC0687"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77.77</w:t>
            </w:r>
          </w:p>
        </w:tc>
        <w:tc>
          <w:tcPr>
            <w:tcW w:w="816" w:type="pct"/>
            <w:tcMar>
              <w:top w:w="0" w:type="dxa"/>
              <w:bottom w:w="0" w:type="dxa"/>
            </w:tcMar>
            <w:vAlign w:val="center"/>
          </w:tcPr>
          <w:p w14:paraId="4353358B"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104</w:t>
            </w:r>
          </w:p>
        </w:tc>
      </w:tr>
      <w:tr w:rsidR="005A6C86" w:rsidRPr="00994337" w14:paraId="284894D3" w14:textId="77777777" w:rsidTr="00994337">
        <w:tc>
          <w:tcPr>
            <w:tcW w:w="2237" w:type="pct"/>
            <w:tcMar>
              <w:top w:w="0" w:type="dxa"/>
              <w:bottom w:w="0" w:type="dxa"/>
            </w:tcMar>
            <w:vAlign w:val="center"/>
          </w:tcPr>
          <w:p w14:paraId="4E3D49C8"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Total number of employees (persons)</w:t>
            </w:r>
          </w:p>
        </w:tc>
        <w:tc>
          <w:tcPr>
            <w:tcW w:w="855" w:type="pct"/>
            <w:tcMar>
              <w:top w:w="0" w:type="dxa"/>
              <w:bottom w:w="0" w:type="dxa"/>
            </w:tcMar>
            <w:vAlign w:val="center"/>
          </w:tcPr>
          <w:p w14:paraId="204455ED"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564</w:t>
            </w:r>
          </w:p>
        </w:tc>
        <w:tc>
          <w:tcPr>
            <w:tcW w:w="1092" w:type="pct"/>
            <w:tcMar>
              <w:top w:w="0" w:type="dxa"/>
              <w:bottom w:w="0" w:type="dxa"/>
            </w:tcMar>
            <w:vAlign w:val="center"/>
          </w:tcPr>
          <w:p w14:paraId="78A11785"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552</w:t>
            </w:r>
          </w:p>
        </w:tc>
        <w:tc>
          <w:tcPr>
            <w:tcW w:w="816" w:type="pct"/>
            <w:tcMar>
              <w:top w:w="0" w:type="dxa"/>
              <w:bottom w:w="0" w:type="dxa"/>
            </w:tcMar>
            <w:vAlign w:val="center"/>
          </w:tcPr>
          <w:p w14:paraId="571052E2"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98</w:t>
            </w:r>
          </w:p>
        </w:tc>
      </w:tr>
      <w:tr w:rsidR="005A6C86" w:rsidRPr="00994337" w14:paraId="2F61198B" w14:textId="77777777" w:rsidTr="00994337">
        <w:tc>
          <w:tcPr>
            <w:tcW w:w="2237" w:type="pct"/>
            <w:tcMar>
              <w:top w:w="0" w:type="dxa"/>
              <w:bottom w:w="0" w:type="dxa"/>
            </w:tcMar>
            <w:vAlign w:val="center"/>
          </w:tcPr>
          <w:p w14:paraId="03822BA3"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Average income (Million VND)</w:t>
            </w:r>
          </w:p>
        </w:tc>
        <w:tc>
          <w:tcPr>
            <w:tcW w:w="855" w:type="pct"/>
            <w:tcMar>
              <w:top w:w="0" w:type="dxa"/>
              <w:bottom w:w="0" w:type="dxa"/>
            </w:tcMar>
            <w:vAlign w:val="center"/>
          </w:tcPr>
          <w:p w14:paraId="33D0BC8B"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11.5</w:t>
            </w:r>
          </w:p>
        </w:tc>
        <w:tc>
          <w:tcPr>
            <w:tcW w:w="1092" w:type="pct"/>
            <w:tcMar>
              <w:top w:w="0" w:type="dxa"/>
              <w:bottom w:w="0" w:type="dxa"/>
            </w:tcMar>
            <w:vAlign w:val="center"/>
          </w:tcPr>
          <w:p w14:paraId="69DE0067"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11.8</w:t>
            </w:r>
          </w:p>
        </w:tc>
        <w:tc>
          <w:tcPr>
            <w:tcW w:w="816" w:type="pct"/>
            <w:tcMar>
              <w:top w:w="0" w:type="dxa"/>
              <w:bottom w:w="0" w:type="dxa"/>
            </w:tcMar>
            <w:vAlign w:val="center"/>
          </w:tcPr>
          <w:p w14:paraId="04C25C71"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103</w:t>
            </w:r>
          </w:p>
        </w:tc>
      </w:tr>
      <w:tr w:rsidR="005A6C86" w:rsidRPr="00994337" w14:paraId="3A5ED71A" w14:textId="77777777" w:rsidTr="00994337">
        <w:tc>
          <w:tcPr>
            <w:tcW w:w="2237" w:type="pct"/>
            <w:tcMar>
              <w:top w:w="0" w:type="dxa"/>
              <w:bottom w:w="0" w:type="dxa"/>
            </w:tcMar>
            <w:vAlign w:val="center"/>
          </w:tcPr>
          <w:p w14:paraId="3B1DAFB4"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Dividend</w:t>
            </w:r>
          </w:p>
        </w:tc>
        <w:tc>
          <w:tcPr>
            <w:tcW w:w="855" w:type="pct"/>
            <w:tcMar>
              <w:top w:w="0" w:type="dxa"/>
              <w:bottom w:w="0" w:type="dxa"/>
            </w:tcMar>
            <w:vAlign w:val="center"/>
          </w:tcPr>
          <w:p w14:paraId="7CEA6DCB"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&gt;=5%</w:t>
            </w:r>
          </w:p>
        </w:tc>
        <w:tc>
          <w:tcPr>
            <w:tcW w:w="1092" w:type="pct"/>
            <w:tcMar>
              <w:top w:w="0" w:type="dxa"/>
              <w:bottom w:w="0" w:type="dxa"/>
            </w:tcMar>
            <w:vAlign w:val="center"/>
          </w:tcPr>
          <w:p w14:paraId="48830A0B"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5.1%</w:t>
            </w:r>
          </w:p>
        </w:tc>
        <w:tc>
          <w:tcPr>
            <w:tcW w:w="816" w:type="pct"/>
            <w:tcMar>
              <w:top w:w="0" w:type="dxa"/>
              <w:bottom w:w="0" w:type="dxa"/>
            </w:tcMar>
            <w:vAlign w:val="center"/>
          </w:tcPr>
          <w:p w14:paraId="6625273A" w14:textId="77777777" w:rsidR="005A6C86" w:rsidRPr="00994337" w:rsidRDefault="00994337" w:rsidP="00985EFE">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100%</w:t>
            </w:r>
          </w:p>
        </w:tc>
      </w:tr>
    </w:tbl>
    <w:p w14:paraId="636EE406" w14:textId="77777777" w:rsidR="005A6C86" w:rsidRPr="00985EFE"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i/>
          <w:iCs/>
          <w:color w:val="010000"/>
          <w:sz w:val="20"/>
          <w:szCs w:val="20"/>
        </w:rPr>
      </w:pPr>
      <w:r w:rsidRPr="00985EFE">
        <w:rPr>
          <w:rFonts w:ascii="Arial" w:hAnsi="Arial" w:cs="Arial"/>
          <w:i/>
          <w:iCs/>
          <w:color w:val="010000"/>
          <w:sz w:val="20"/>
        </w:rPr>
        <w:t>(Audited Financial Statements 2025 by AAC Auditing and Accounting Company Limited)</w:t>
      </w:r>
    </w:p>
    <w:p w14:paraId="302EA361"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In 2025, the global economic landscape continues to be complex, marked by numerous uncertainties such as inflation, tight monetary policies in many countries, prolonged geopolitical conflicts, and increasing protectionist trade trends. These factors have directly impacted import and export activities, supply chains, and global commodity prices.</w:t>
      </w:r>
    </w:p>
    <w:p w14:paraId="083E9AFB"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2. Task orientation in 2026:</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35"/>
        <w:gridCol w:w="6058"/>
        <w:gridCol w:w="2424"/>
      </w:tblGrid>
      <w:tr w:rsidR="005A6C86" w:rsidRPr="00994337" w14:paraId="07783D75" w14:textId="77777777" w:rsidTr="00FF0834">
        <w:tc>
          <w:tcPr>
            <w:tcW w:w="297" w:type="pct"/>
            <w:tcMar>
              <w:top w:w="0" w:type="dxa"/>
              <w:bottom w:w="0" w:type="dxa"/>
            </w:tcMar>
            <w:vAlign w:val="center"/>
          </w:tcPr>
          <w:p w14:paraId="64CC4162" w14:textId="570BB0E0"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No.</w:t>
            </w:r>
          </w:p>
        </w:tc>
        <w:tc>
          <w:tcPr>
            <w:tcW w:w="3359" w:type="pct"/>
            <w:tcMar>
              <w:top w:w="0" w:type="dxa"/>
              <w:bottom w:w="0" w:type="dxa"/>
            </w:tcMar>
            <w:vAlign w:val="center"/>
          </w:tcPr>
          <w:p w14:paraId="0AF54145"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Targets</w:t>
            </w:r>
          </w:p>
        </w:tc>
        <w:tc>
          <w:tcPr>
            <w:tcW w:w="1344" w:type="pct"/>
            <w:tcMar>
              <w:top w:w="0" w:type="dxa"/>
              <w:bottom w:w="0" w:type="dxa"/>
            </w:tcMar>
            <w:vAlign w:val="center"/>
          </w:tcPr>
          <w:p w14:paraId="7DD5A06C"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Plan 2026</w:t>
            </w:r>
          </w:p>
        </w:tc>
      </w:tr>
      <w:tr w:rsidR="005A6C86" w:rsidRPr="00994337" w14:paraId="1405A0C8" w14:textId="77777777" w:rsidTr="00FF0834">
        <w:tc>
          <w:tcPr>
            <w:tcW w:w="297" w:type="pct"/>
            <w:tcMar>
              <w:top w:w="0" w:type="dxa"/>
              <w:bottom w:w="0" w:type="dxa"/>
            </w:tcMar>
            <w:vAlign w:val="center"/>
          </w:tcPr>
          <w:p w14:paraId="2ADA6C79"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w:t>
            </w:r>
          </w:p>
        </w:tc>
        <w:tc>
          <w:tcPr>
            <w:tcW w:w="3359" w:type="pct"/>
            <w:tcMar>
              <w:top w:w="0" w:type="dxa"/>
              <w:bottom w:w="0" w:type="dxa"/>
            </w:tcMar>
            <w:vAlign w:val="center"/>
          </w:tcPr>
          <w:p w14:paraId="188035ED"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Revenue (billion VND)</w:t>
            </w:r>
          </w:p>
        </w:tc>
        <w:tc>
          <w:tcPr>
            <w:tcW w:w="1344" w:type="pct"/>
            <w:tcMar>
              <w:top w:w="0" w:type="dxa"/>
              <w:bottom w:w="0" w:type="dxa"/>
            </w:tcMar>
            <w:vAlign w:val="center"/>
          </w:tcPr>
          <w:p w14:paraId="09A18205"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1,728</w:t>
            </w:r>
          </w:p>
        </w:tc>
      </w:tr>
      <w:tr w:rsidR="005A6C86" w:rsidRPr="00994337" w14:paraId="45A3774E" w14:textId="77777777" w:rsidTr="00FF0834">
        <w:tc>
          <w:tcPr>
            <w:tcW w:w="297" w:type="pct"/>
            <w:tcMar>
              <w:top w:w="0" w:type="dxa"/>
              <w:bottom w:w="0" w:type="dxa"/>
            </w:tcMar>
            <w:vAlign w:val="center"/>
          </w:tcPr>
          <w:p w14:paraId="36F5DD84"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lastRenderedPageBreak/>
              <w:t>2</w:t>
            </w:r>
          </w:p>
        </w:tc>
        <w:tc>
          <w:tcPr>
            <w:tcW w:w="3359" w:type="pct"/>
            <w:tcMar>
              <w:top w:w="0" w:type="dxa"/>
              <w:bottom w:w="0" w:type="dxa"/>
            </w:tcMar>
            <w:vAlign w:val="center"/>
          </w:tcPr>
          <w:p w14:paraId="113FE806"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Profit (billion VND)</w:t>
            </w:r>
          </w:p>
        </w:tc>
        <w:tc>
          <w:tcPr>
            <w:tcW w:w="1344" w:type="pct"/>
            <w:tcMar>
              <w:top w:w="0" w:type="dxa"/>
              <w:bottom w:w="0" w:type="dxa"/>
            </w:tcMar>
            <w:vAlign w:val="center"/>
          </w:tcPr>
          <w:p w14:paraId="5BB4E434"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w:t>
            </w:r>
          </w:p>
        </w:tc>
      </w:tr>
      <w:tr w:rsidR="005A6C86" w:rsidRPr="00994337" w14:paraId="3F4D205B" w14:textId="77777777" w:rsidTr="00FF0834">
        <w:tc>
          <w:tcPr>
            <w:tcW w:w="297" w:type="pct"/>
            <w:tcMar>
              <w:top w:w="0" w:type="dxa"/>
              <w:bottom w:w="0" w:type="dxa"/>
            </w:tcMar>
            <w:vAlign w:val="center"/>
          </w:tcPr>
          <w:p w14:paraId="2B24D210"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3</w:t>
            </w:r>
          </w:p>
        </w:tc>
        <w:tc>
          <w:tcPr>
            <w:tcW w:w="3359" w:type="pct"/>
            <w:tcMar>
              <w:top w:w="0" w:type="dxa"/>
              <w:bottom w:w="0" w:type="dxa"/>
            </w:tcMar>
            <w:vAlign w:val="center"/>
          </w:tcPr>
          <w:p w14:paraId="3E9B8AC7"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Payables to State budget (Billion VND)</w:t>
            </w:r>
          </w:p>
        </w:tc>
        <w:tc>
          <w:tcPr>
            <w:tcW w:w="1344" w:type="pct"/>
            <w:tcMar>
              <w:top w:w="0" w:type="dxa"/>
              <w:bottom w:w="0" w:type="dxa"/>
            </w:tcMar>
            <w:vAlign w:val="center"/>
          </w:tcPr>
          <w:p w14:paraId="7027BB66"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69</w:t>
            </w:r>
          </w:p>
        </w:tc>
      </w:tr>
      <w:tr w:rsidR="005A6C86" w:rsidRPr="00994337" w14:paraId="76D56BDE" w14:textId="77777777" w:rsidTr="00FF0834">
        <w:tc>
          <w:tcPr>
            <w:tcW w:w="297" w:type="pct"/>
            <w:tcMar>
              <w:top w:w="0" w:type="dxa"/>
              <w:bottom w:w="0" w:type="dxa"/>
            </w:tcMar>
            <w:vAlign w:val="center"/>
          </w:tcPr>
          <w:p w14:paraId="0CDF16E8"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4</w:t>
            </w:r>
          </w:p>
        </w:tc>
        <w:tc>
          <w:tcPr>
            <w:tcW w:w="3359" w:type="pct"/>
            <w:tcMar>
              <w:top w:w="0" w:type="dxa"/>
              <w:bottom w:w="0" w:type="dxa"/>
            </w:tcMar>
            <w:vAlign w:val="center"/>
          </w:tcPr>
          <w:p w14:paraId="657E7F92"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Total number of employees (persons)</w:t>
            </w:r>
          </w:p>
        </w:tc>
        <w:tc>
          <w:tcPr>
            <w:tcW w:w="1344" w:type="pct"/>
            <w:tcMar>
              <w:top w:w="0" w:type="dxa"/>
              <w:bottom w:w="0" w:type="dxa"/>
            </w:tcMar>
            <w:vAlign w:val="center"/>
          </w:tcPr>
          <w:p w14:paraId="40F0F435"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605</w:t>
            </w:r>
          </w:p>
        </w:tc>
      </w:tr>
      <w:tr w:rsidR="005A6C86" w:rsidRPr="00994337" w14:paraId="048BC631" w14:textId="77777777" w:rsidTr="00FF0834">
        <w:tc>
          <w:tcPr>
            <w:tcW w:w="297" w:type="pct"/>
            <w:tcMar>
              <w:top w:w="0" w:type="dxa"/>
              <w:bottom w:w="0" w:type="dxa"/>
            </w:tcMar>
            <w:vAlign w:val="center"/>
          </w:tcPr>
          <w:p w14:paraId="749822F3"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w:t>
            </w:r>
          </w:p>
        </w:tc>
        <w:tc>
          <w:tcPr>
            <w:tcW w:w="3359" w:type="pct"/>
            <w:tcMar>
              <w:top w:w="0" w:type="dxa"/>
              <w:bottom w:w="0" w:type="dxa"/>
            </w:tcMar>
            <w:vAlign w:val="center"/>
          </w:tcPr>
          <w:p w14:paraId="0B81B57F"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Average income (Million VND)</w:t>
            </w:r>
          </w:p>
        </w:tc>
        <w:tc>
          <w:tcPr>
            <w:tcW w:w="1344" w:type="pct"/>
            <w:tcMar>
              <w:top w:w="0" w:type="dxa"/>
              <w:bottom w:w="0" w:type="dxa"/>
            </w:tcMar>
            <w:vAlign w:val="center"/>
          </w:tcPr>
          <w:p w14:paraId="0A1C8E4D"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11.5</w:t>
            </w:r>
          </w:p>
        </w:tc>
      </w:tr>
      <w:tr w:rsidR="005A6C86" w:rsidRPr="00994337" w14:paraId="733A57BC" w14:textId="77777777" w:rsidTr="00FF0834">
        <w:tc>
          <w:tcPr>
            <w:tcW w:w="297" w:type="pct"/>
            <w:tcMar>
              <w:top w:w="0" w:type="dxa"/>
              <w:bottom w:w="0" w:type="dxa"/>
            </w:tcMar>
            <w:vAlign w:val="center"/>
          </w:tcPr>
          <w:p w14:paraId="013EEB58"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6</w:t>
            </w:r>
          </w:p>
        </w:tc>
        <w:tc>
          <w:tcPr>
            <w:tcW w:w="3359" w:type="pct"/>
            <w:tcMar>
              <w:top w:w="0" w:type="dxa"/>
              <w:bottom w:w="0" w:type="dxa"/>
            </w:tcMar>
            <w:vAlign w:val="center"/>
          </w:tcPr>
          <w:p w14:paraId="65D74284"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Dividends (%)</w:t>
            </w:r>
          </w:p>
        </w:tc>
        <w:tc>
          <w:tcPr>
            <w:tcW w:w="1344" w:type="pct"/>
            <w:tcMar>
              <w:top w:w="0" w:type="dxa"/>
              <w:bottom w:w="0" w:type="dxa"/>
            </w:tcMar>
            <w:vAlign w:val="center"/>
          </w:tcPr>
          <w:p w14:paraId="0E1FC0F6"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&gt;=5</w:t>
            </w:r>
          </w:p>
        </w:tc>
      </w:tr>
    </w:tbl>
    <w:p w14:paraId="2044B43F"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In 2026, the global economy will continue to recover but will not be stable, market demand will be slow, while raw material costs, logistics, and requirements for environmental standards and traceability will increase, putting pressure on the company's production and business activities.</w:t>
      </w:r>
    </w:p>
    <w:p w14:paraId="06C38C90"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For the Company, key products will be clearly affected: rubber and cassava starch will continue to fluctuate in price and market (especially dependent on China); wood pellets have growth opportunities thanks to the clean energy trend but require strict standards; Rice, fertilizers, and animal feed maintain stable demand, opening up opportunities for high-quality, organic products, etc.</w:t>
      </w:r>
    </w:p>
    <w:p w14:paraId="16F42238"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General orientation:</w:t>
      </w:r>
    </w:p>
    <w:p w14:paraId="2ED170C6"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Organize flexible production and business, closely follow market developments, ensuring efficiency and financial security; Promote product and market restructuring towards increasing added value and sustainable development; Strengthen corporate governance, control costs, and improve capital utilization efficiency.</w:t>
      </w:r>
    </w:p>
    <w:p w14:paraId="33E018C6"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3. Approve the Report on activities of the Supervisory Board in 2025 and the operating orientation for 2026.</w:t>
      </w:r>
    </w:p>
    <w:p w14:paraId="37232A4A" w14:textId="77777777" w:rsidR="005A6C86" w:rsidRPr="00994337" w:rsidRDefault="00994337" w:rsidP="00985EFE">
      <w:pPr>
        <w:numPr>
          <w:ilvl w:val="0"/>
          <w:numId w:val="3"/>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994337">
        <w:rPr>
          <w:rFonts w:ascii="Arial" w:hAnsi="Arial" w:cs="Arial"/>
          <w:color w:val="010000"/>
          <w:sz w:val="20"/>
        </w:rPr>
        <w:t>In 2025, the Supervisory Board directly inspected the operations at the agricultural processing plant; supervised the operations of the remaining units; participated with the Board of Directors and the Executive Board in working sessions at the grassroots units, gathering information on operational results, investment portfolio policies, equipment procurement, repairs, upgrades, and the implementation of new projects and plans. In coordination with the company's accounting department and the valuation consulting firm, conduct a thorough inspection of all company assets and reassess their value, as a basis for divesting state capital from the company. In coordination with the accounting departments of subsidiary units, the Supervisory Board will inspect and propose to the Company's leadership the liquidation of damaged and unused assets.</w:t>
      </w:r>
    </w:p>
    <w:p w14:paraId="5B1A21DD"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 xml:space="preserve">In 2026, the Supervisory Board will conduct inspections and supervision of activities, ensuring compliance with the Company's Charter, state laws, and the operational situation of the Company and its subsidiaries: Supervise the management and administration activities of the Board of Directors and the Board of Management in: implementing the General Mandate approved by the General Meeting of Shareholders; achieving the production and business plan targets 2026; complying with legal regulations and the Company’s Charter; managing and using assets and capital, as well as investment and procurement plans; dividend payments; divestment of State capital in the Company; disclosure of information in accordance with regulations applicable to public companies; and performing other duties </w:t>
      </w:r>
      <w:r w:rsidRPr="00994337">
        <w:rPr>
          <w:rFonts w:ascii="Arial" w:hAnsi="Arial" w:cs="Arial"/>
          <w:color w:val="010000"/>
          <w:sz w:val="20"/>
        </w:rPr>
        <w:lastRenderedPageBreak/>
        <w:t>in accordance with the Charter and as required.</w:t>
      </w:r>
    </w:p>
    <w:p w14:paraId="1491F1FB"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4. Approve the selection of audit company in 2026.</w:t>
      </w:r>
    </w:p>
    <w:p w14:paraId="3DFCE3BB"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1. AAC Auditing and Accounting Company Limited, with its branch office in Da Nang: As the audit company for the Financial Statements 2025 of Quang Tri general trading joint stock company, this unit has previously audited the Corporation's Financial Statements from 2015 to 2025.</w:t>
      </w:r>
    </w:p>
    <w:p w14:paraId="29B94398"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5. Approve the transfer of the Company's land plot:</w:t>
      </w:r>
    </w:p>
    <w:p w14:paraId="4362DCB6"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Land plot at 466-468 Nguyen Luong Bang Street, Hoa Hiep Nam Ward, Lien Chieu District, Da Nang City (formerly), with an area of ​​867.4 m2, at the price of: VND38,715,823,000</w:t>
      </w:r>
    </w:p>
    <w:p w14:paraId="42B9F853"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6. Approve on updating and adjusting registered business lines and supplementing and changing the charter:</w:t>
      </w:r>
    </w:p>
    <w:p w14:paraId="7378698E"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7. Approve the plan on the profit distribution, appropriation for funds, and dividend payment for 2025.</w:t>
      </w:r>
    </w:p>
    <w:p w14:paraId="6D7671E2" w14:textId="77777777" w:rsidR="005A6C86" w:rsidRPr="00FF0834" w:rsidRDefault="00994337" w:rsidP="00FF0834">
      <w:pPr>
        <w:pBdr>
          <w:top w:val="nil"/>
          <w:left w:val="nil"/>
          <w:bottom w:val="nil"/>
          <w:right w:val="nil"/>
          <w:between w:val="nil"/>
        </w:pBdr>
        <w:tabs>
          <w:tab w:val="left" w:pos="432"/>
        </w:tabs>
        <w:spacing w:after="120" w:line="360" w:lineRule="auto"/>
        <w:jc w:val="right"/>
        <w:rPr>
          <w:rFonts w:ascii="Arial" w:eastAsia="Arial" w:hAnsi="Arial" w:cs="Arial"/>
          <w:i/>
          <w:iCs/>
          <w:color w:val="010000"/>
          <w:sz w:val="20"/>
          <w:szCs w:val="20"/>
        </w:rPr>
      </w:pPr>
      <w:r w:rsidRPr="00FF0834">
        <w:rPr>
          <w:rFonts w:ascii="Arial" w:hAnsi="Arial" w:cs="Arial"/>
          <w:i/>
          <w:iCs/>
          <w:color w:val="010000"/>
          <w:sz w:val="20"/>
        </w:rPr>
        <w:t>Unit: VND</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25"/>
        <w:gridCol w:w="6453"/>
        <w:gridCol w:w="1939"/>
      </w:tblGrid>
      <w:tr w:rsidR="005A6C86" w:rsidRPr="00994337" w14:paraId="465734AB" w14:textId="77777777" w:rsidTr="00FF0834">
        <w:tc>
          <w:tcPr>
            <w:tcW w:w="347" w:type="pct"/>
            <w:tcMar>
              <w:top w:w="0" w:type="dxa"/>
              <w:bottom w:w="0" w:type="dxa"/>
            </w:tcMar>
            <w:vAlign w:val="center"/>
          </w:tcPr>
          <w:p w14:paraId="73FBCA55"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w:t>
            </w:r>
          </w:p>
        </w:tc>
        <w:tc>
          <w:tcPr>
            <w:tcW w:w="3578" w:type="pct"/>
            <w:tcMar>
              <w:top w:w="0" w:type="dxa"/>
              <w:bottom w:w="0" w:type="dxa"/>
            </w:tcMar>
            <w:vAlign w:val="center"/>
          </w:tcPr>
          <w:p w14:paraId="1D8E19FD"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Profit before tax 2025</w:t>
            </w:r>
          </w:p>
        </w:tc>
        <w:tc>
          <w:tcPr>
            <w:tcW w:w="1076" w:type="pct"/>
            <w:tcMar>
              <w:top w:w="0" w:type="dxa"/>
              <w:bottom w:w="0" w:type="dxa"/>
            </w:tcMar>
            <w:vAlign w:val="center"/>
          </w:tcPr>
          <w:p w14:paraId="6F87C32B"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5,034,608,188</w:t>
            </w:r>
          </w:p>
        </w:tc>
      </w:tr>
      <w:tr w:rsidR="005A6C86" w:rsidRPr="00994337" w14:paraId="0759FA1C" w14:textId="77777777" w:rsidTr="00FF0834">
        <w:tc>
          <w:tcPr>
            <w:tcW w:w="347" w:type="pct"/>
            <w:tcMar>
              <w:top w:w="0" w:type="dxa"/>
              <w:bottom w:w="0" w:type="dxa"/>
            </w:tcMar>
            <w:vAlign w:val="center"/>
          </w:tcPr>
          <w:p w14:paraId="1A8C5B44"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a</w:t>
            </w:r>
          </w:p>
        </w:tc>
        <w:tc>
          <w:tcPr>
            <w:tcW w:w="3578" w:type="pct"/>
            <w:tcMar>
              <w:top w:w="0" w:type="dxa"/>
              <w:bottom w:w="0" w:type="dxa"/>
            </w:tcMar>
            <w:vAlign w:val="center"/>
          </w:tcPr>
          <w:p w14:paraId="1595FCB3"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Corporate income tax payment (0%)</w:t>
            </w:r>
          </w:p>
        </w:tc>
        <w:tc>
          <w:tcPr>
            <w:tcW w:w="1076" w:type="pct"/>
            <w:tcMar>
              <w:top w:w="0" w:type="dxa"/>
              <w:bottom w:w="0" w:type="dxa"/>
            </w:tcMar>
            <w:vAlign w:val="center"/>
          </w:tcPr>
          <w:p w14:paraId="360C0CF6"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0</w:t>
            </w:r>
          </w:p>
        </w:tc>
      </w:tr>
      <w:tr w:rsidR="005A6C86" w:rsidRPr="00994337" w14:paraId="2B3E7B5B" w14:textId="77777777" w:rsidTr="00FF0834">
        <w:tc>
          <w:tcPr>
            <w:tcW w:w="347" w:type="pct"/>
            <w:tcMar>
              <w:top w:w="0" w:type="dxa"/>
              <w:bottom w:w="0" w:type="dxa"/>
            </w:tcMar>
            <w:vAlign w:val="center"/>
          </w:tcPr>
          <w:p w14:paraId="21DCB541"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b</w:t>
            </w:r>
          </w:p>
        </w:tc>
        <w:tc>
          <w:tcPr>
            <w:tcW w:w="3578" w:type="pct"/>
            <w:tcMar>
              <w:top w:w="0" w:type="dxa"/>
              <w:bottom w:w="0" w:type="dxa"/>
            </w:tcMar>
            <w:vAlign w:val="center"/>
          </w:tcPr>
          <w:p w14:paraId="2B22311E"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Appropriation for development and investment fund (2%)</w:t>
            </w:r>
          </w:p>
        </w:tc>
        <w:tc>
          <w:tcPr>
            <w:tcW w:w="1076" w:type="pct"/>
            <w:tcMar>
              <w:top w:w="0" w:type="dxa"/>
              <w:bottom w:w="0" w:type="dxa"/>
            </w:tcMar>
            <w:vAlign w:val="center"/>
          </w:tcPr>
          <w:p w14:paraId="59C30FB5"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100,692,163</w:t>
            </w:r>
          </w:p>
        </w:tc>
      </w:tr>
      <w:tr w:rsidR="005A6C86" w:rsidRPr="00994337" w14:paraId="44C1DA7C" w14:textId="77777777" w:rsidTr="00FF0834">
        <w:tc>
          <w:tcPr>
            <w:tcW w:w="347" w:type="pct"/>
            <w:tcMar>
              <w:top w:w="0" w:type="dxa"/>
              <w:bottom w:w="0" w:type="dxa"/>
            </w:tcMar>
            <w:vAlign w:val="center"/>
          </w:tcPr>
          <w:p w14:paraId="170F1B6B"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c</w:t>
            </w:r>
          </w:p>
        </w:tc>
        <w:tc>
          <w:tcPr>
            <w:tcW w:w="3578" w:type="pct"/>
            <w:tcMar>
              <w:top w:w="0" w:type="dxa"/>
              <w:bottom w:w="0" w:type="dxa"/>
            </w:tcMar>
            <w:vAlign w:val="center"/>
          </w:tcPr>
          <w:p w14:paraId="399B84AE"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Appropriation for bonus (8%)</w:t>
            </w:r>
          </w:p>
        </w:tc>
        <w:tc>
          <w:tcPr>
            <w:tcW w:w="1076" w:type="pct"/>
            <w:tcMar>
              <w:top w:w="0" w:type="dxa"/>
              <w:bottom w:w="0" w:type="dxa"/>
            </w:tcMar>
            <w:vAlign w:val="center"/>
          </w:tcPr>
          <w:p w14:paraId="1E3DD284"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402,768,655</w:t>
            </w:r>
          </w:p>
        </w:tc>
      </w:tr>
      <w:tr w:rsidR="005A6C86" w:rsidRPr="00994337" w14:paraId="34422631" w14:textId="77777777" w:rsidTr="00FF0834">
        <w:tc>
          <w:tcPr>
            <w:tcW w:w="347" w:type="pct"/>
            <w:tcMar>
              <w:top w:w="0" w:type="dxa"/>
              <w:bottom w:w="0" w:type="dxa"/>
            </w:tcMar>
            <w:vAlign w:val="center"/>
          </w:tcPr>
          <w:p w14:paraId="5BE79A4A"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d</w:t>
            </w:r>
          </w:p>
        </w:tc>
        <w:tc>
          <w:tcPr>
            <w:tcW w:w="3578" w:type="pct"/>
            <w:tcMar>
              <w:top w:w="0" w:type="dxa"/>
              <w:bottom w:w="0" w:type="dxa"/>
            </w:tcMar>
            <w:vAlign w:val="center"/>
          </w:tcPr>
          <w:p w14:paraId="5F170184"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Appropriation for welfare fund (4.91%)</w:t>
            </w:r>
          </w:p>
        </w:tc>
        <w:tc>
          <w:tcPr>
            <w:tcW w:w="1076" w:type="pct"/>
            <w:tcMar>
              <w:top w:w="0" w:type="dxa"/>
              <w:bottom w:w="0" w:type="dxa"/>
            </w:tcMar>
            <w:vAlign w:val="center"/>
          </w:tcPr>
          <w:p w14:paraId="10A20FBB"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247,147,370</w:t>
            </w:r>
          </w:p>
        </w:tc>
      </w:tr>
      <w:tr w:rsidR="005A6C86" w:rsidRPr="00994337" w14:paraId="5DB2FBCB" w14:textId="77777777" w:rsidTr="00FF0834">
        <w:tc>
          <w:tcPr>
            <w:tcW w:w="347" w:type="pct"/>
            <w:tcMar>
              <w:top w:w="0" w:type="dxa"/>
              <w:bottom w:w="0" w:type="dxa"/>
            </w:tcMar>
            <w:vAlign w:val="center"/>
          </w:tcPr>
          <w:p w14:paraId="68BFF48C"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2</w:t>
            </w:r>
          </w:p>
        </w:tc>
        <w:tc>
          <w:tcPr>
            <w:tcW w:w="3578" w:type="pct"/>
            <w:tcMar>
              <w:top w:w="0" w:type="dxa"/>
              <w:bottom w:w="0" w:type="dxa"/>
            </w:tcMar>
            <w:vAlign w:val="center"/>
          </w:tcPr>
          <w:p w14:paraId="27159B64"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Profit distributed after tax and appropriation</w:t>
            </w:r>
          </w:p>
        </w:tc>
        <w:tc>
          <w:tcPr>
            <w:tcW w:w="1076" w:type="pct"/>
            <w:tcMar>
              <w:top w:w="0" w:type="dxa"/>
              <w:bottom w:w="0" w:type="dxa"/>
            </w:tcMar>
            <w:vAlign w:val="center"/>
          </w:tcPr>
          <w:p w14:paraId="02F720D3" w14:textId="77777777" w:rsidR="005A6C86" w:rsidRPr="00994337" w:rsidRDefault="005A6C86" w:rsidP="00FF0834">
            <w:pPr>
              <w:tabs>
                <w:tab w:val="left" w:pos="432"/>
              </w:tabs>
              <w:spacing w:after="120" w:line="360" w:lineRule="auto"/>
              <w:jc w:val="center"/>
              <w:rPr>
                <w:rFonts w:ascii="Arial" w:eastAsia="Arial" w:hAnsi="Arial" w:cs="Arial"/>
                <w:color w:val="010000"/>
                <w:sz w:val="20"/>
                <w:szCs w:val="20"/>
              </w:rPr>
            </w:pPr>
          </w:p>
        </w:tc>
      </w:tr>
      <w:tr w:rsidR="005A6C86" w:rsidRPr="00994337" w14:paraId="20F4C5AD" w14:textId="77777777" w:rsidTr="00FF0834">
        <w:tc>
          <w:tcPr>
            <w:tcW w:w="347" w:type="pct"/>
            <w:tcMar>
              <w:top w:w="0" w:type="dxa"/>
              <w:bottom w:w="0" w:type="dxa"/>
            </w:tcMar>
            <w:vAlign w:val="center"/>
          </w:tcPr>
          <w:p w14:paraId="36727CFB"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a</w:t>
            </w:r>
          </w:p>
        </w:tc>
        <w:tc>
          <w:tcPr>
            <w:tcW w:w="3578" w:type="pct"/>
            <w:tcMar>
              <w:top w:w="0" w:type="dxa"/>
              <w:bottom w:w="0" w:type="dxa"/>
            </w:tcMar>
            <w:vAlign w:val="center"/>
          </w:tcPr>
          <w:p w14:paraId="613178AE"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Dividend payment in cash (5.1%)</w:t>
            </w:r>
          </w:p>
        </w:tc>
        <w:tc>
          <w:tcPr>
            <w:tcW w:w="1076" w:type="pct"/>
            <w:tcMar>
              <w:top w:w="0" w:type="dxa"/>
              <w:bottom w:w="0" w:type="dxa"/>
            </w:tcMar>
            <w:vAlign w:val="center"/>
          </w:tcPr>
          <w:p w14:paraId="41EFA0B3"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4,284,000,000</w:t>
            </w:r>
          </w:p>
        </w:tc>
      </w:tr>
      <w:tr w:rsidR="005A6C86" w:rsidRPr="00994337" w14:paraId="650C1E84" w14:textId="77777777" w:rsidTr="00FF0834">
        <w:tc>
          <w:tcPr>
            <w:tcW w:w="347" w:type="pct"/>
            <w:tcMar>
              <w:top w:w="0" w:type="dxa"/>
              <w:bottom w:w="0" w:type="dxa"/>
            </w:tcMar>
            <w:vAlign w:val="center"/>
          </w:tcPr>
          <w:p w14:paraId="69503EBC"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3</w:t>
            </w:r>
          </w:p>
        </w:tc>
        <w:tc>
          <w:tcPr>
            <w:tcW w:w="3578" w:type="pct"/>
            <w:tcMar>
              <w:top w:w="0" w:type="dxa"/>
              <w:bottom w:w="0" w:type="dxa"/>
            </w:tcMar>
            <w:vAlign w:val="center"/>
          </w:tcPr>
          <w:p w14:paraId="468397AD"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Remaining profit after distribution in 2025</w:t>
            </w:r>
          </w:p>
        </w:tc>
        <w:tc>
          <w:tcPr>
            <w:tcW w:w="1076" w:type="pct"/>
            <w:tcMar>
              <w:top w:w="0" w:type="dxa"/>
              <w:bottom w:w="0" w:type="dxa"/>
            </w:tcMar>
            <w:vAlign w:val="center"/>
          </w:tcPr>
          <w:p w14:paraId="415E9879" w14:textId="77777777" w:rsidR="005A6C86" w:rsidRPr="00994337" w:rsidRDefault="00994337" w:rsidP="00FF0834">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994337">
              <w:rPr>
                <w:rFonts w:ascii="Arial" w:hAnsi="Arial" w:cs="Arial"/>
                <w:color w:val="010000"/>
                <w:sz w:val="20"/>
              </w:rPr>
              <w:t>01</w:t>
            </w:r>
          </w:p>
        </w:tc>
      </w:tr>
    </w:tbl>
    <w:p w14:paraId="1CFB8F83"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The Board of Directors proposes a cash dividend for 2025 of 5.1% of the charter capital, equivalent to: VND4,284,000,000</w:t>
      </w:r>
    </w:p>
    <w:p w14:paraId="79BD5B18"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8. Approve the payment of salary, remuneration, and bonus funds for 2025 and the salary, remuneration, and bonus plan for 2026 of the executive and non-executive Management Board of the Corporation.</w:t>
      </w:r>
    </w:p>
    <w:p w14:paraId="705CA4FF" w14:textId="77777777" w:rsidR="005A6C86" w:rsidRPr="00994337" w:rsidRDefault="00994337" w:rsidP="00985EFE">
      <w:pPr>
        <w:numPr>
          <w:ilvl w:val="0"/>
          <w:numId w:val="1"/>
        </w:numPr>
        <w:pBdr>
          <w:top w:val="nil"/>
          <w:left w:val="nil"/>
          <w:bottom w:val="nil"/>
          <w:right w:val="nil"/>
          <w:between w:val="nil"/>
        </w:pBdr>
        <w:tabs>
          <w:tab w:val="left" w:pos="432"/>
          <w:tab w:val="left" w:pos="1122"/>
        </w:tabs>
        <w:spacing w:after="120" w:line="360" w:lineRule="auto"/>
        <w:jc w:val="both"/>
        <w:rPr>
          <w:rFonts w:ascii="Arial" w:eastAsia="Arial" w:hAnsi="Arial" w:cs="Arial"/>
          <w:color w:val="010000"/>
          <w:sz w:val="20"/>
          <w:szCs w:val="20"/>
        </w:rPr>
      </w:pPr>
      <w:r w:rsidRPr="00994337">
        <w:rPr>
          <w:rFonts w:ascii="Arial" w:hAnsi="Arial" w:cs="Arial"/>
          <w:color w:val="010000"/>
          <w:sz w:val="20"/>
        </w:rPr>
        <w:t>Fund of salary, remuneration and bonus implemented in 2025</w:t>
      </w:r>
    </w:p>
    <w:p w14:paraId="2D32BF74" w14:textId="77777777" w:rsidR="005A6C86" w:rsidRPr="00994337" w:rsidRDefault="00994337" w:rsidP="00985EFE">
      <w:pPr>
        <w:numPr>
          <w:ilvl w:val="0"/>
          <w:numId w:val="2"/>
        </w:numPr>
        <w:pBdr>
          <w:top w:val="nil"/>
          <w:left w:val="nil"/>
          <w:bottom w:val="nil"/>
          <w:right w:val="nil"/>
          <w:between w:val="nil"/>
        </w:pBdr>
        <w:tabs>
          <w:tab w:val="left" w:pos="432"/>
          <w:tab w:val="left" w:pos="1026"/>
        </w:tabs>
        <w:spacing w:after="120" w:line="360" w:lineRule="auto"/>
        <w:jc w:val="both"/>
        <w:rPr>
          <w:rFonts w:ascii="Arial" w:eastAsia="Arial" w:hAnsi="Arial" w:cs="Arial"/>
          <w:color w:val="010000"/>
          <w:sz w:val="20"/>
          <w:szCs w:val="20"/>
        </w:rPr>
      </w:pPr>
      <w:r w:rsidRPr="00994337">
        <w:rPr>
          <w:rFonts w:ascii="Arial" w:hAnsi="Arial" w:cs="Arial"/>
          <w:color w:val="010000"/>
          <w:sz w:val="20"/>
        </w:rPr>
        <w:t>Salary fund for executive Management Board in 2025 according to plan (6 persons): VND5,040,000,000; Results 2025: VND5,040,000,000, disbursed is VND5,040,000,000;</w:t>
      </w:r>
    </w:p>
    <w:p w14:paraId="0EE77F83" w14:textId="77777777" w:rsidR="005A6C86" w:rsidRPr="00994337" w:rsidRDefault="00994337" w:rsidP="00985EFE">
      <w:pPr>
        <w:numPr>
          <w:ilvl w:val="0"/>
          <w:numId w:val="2"/>
        </w:numPr>
        <w:pBdr>
          <w:top w:val="nil"/>
          <w:left w:val="nil"/>
          <w:bottom w:val="nil"/>
          <w:right w:val="nil"/>
          <w:between w:val="nil"/>
        </w:pBdr>
        <w:tabs>
          <w:tab w:val="left" w:pos="432"/>
          <w:tab w:val="left" w:pos="1035"/>
        </w:tabs>
        <w:spacing w:after="120" w:line="360" w:lineRule="auto"/>
        <w:jc w:val="both"/>
        <w:rPr>
          <w:rFonts w:ascii="Arial" w:eastAsia="Arial" w:hAnsi="Arial" w:cs="Arial"/>
          <w:color w:val="010000"/>
          <w:sz w:val="20"/>
          <w:szCs w:val="20"/>
        </w:rPr>
      </w:pPr>
      <w:r w:rsidRPr="00994337">
        <w:rPr>
          <w:rFonts w:ascii="Arial" w:hAnsi="Arial" w:cs="Arial"/>
          <w:color w:val="010000"/>
          <w:sz w:val="20"/>
        </w:rPr>
        <w:t>Remuneration fund for non-executive Management Board in 2025 according to plan (6 persons): VND1,008,000,000; Results 2025: VND1,008,000,000, disbursed is VND288,000,000;</w:t>
      </w:r>
    </w:p>
    <w:p w14:paraId="62138B2C" w14:textId="77777777" w:rsidR="005A6C86" w:rsidRPr="00994337" w:rsidRDefault="00994337" w:rsidP="00985EFE">
      <w:pPr>
        <w:numPr>
          <w:ilvl w:val="0"/>
          <w:numId w:val="2"/>
        </w:numPr>
        <w:pBdr>
          <w:top w:val="nil"/>
          <w:left w:val="nil"/>
          <w:bottom w:val="nil"/>
          <w:right w:val="nil"/>
          <w:between w:val="nil"/>
        </w:pBdr>
        <w:tabs>
          <w:tab w:val="left" w:pos="432"/>
          <w:tab w:val="left" w:pos="1030"/>
        </w:tabs>
        <w:spacing w:after="120" w:line="360" w:lineRule="auto"/>
        <w:jc w:val="both"/>
        <w:rPr>
          <w:rFonts w:ascii="Arial" w:eastAsia="Arial" w:hAnsi="Arial" w:cs="Arial"/>
          <w:color w:val="010000"/>
          <w:sz w:val="20"/>
          <w:szCs w:val="20"/>
        </w:rPr>
      </w:pPr>
      <w:r w:rsidRPr="00994337">
        <w:rPr>
          <w:rFonts w:ascii="Arial" w:hAnsi="Arial" w:cs="Arial"/>
          <w:color w:val="010000"/>
          <w:sz w:val="20"/>
        </w:rPr>
        <w:t xml:space="preserve">The bonus fund for Company managers determined based on the production and business performance 2025: VND1,050,000,000; However, the Board of Directors agreed not to disburse </w:t>
      </w:r>
      <w:r w:rsidRPr="00994337">
        <w:rPr>
          <w:rFonts w:ascii="Arial" w:hAnsi="Arial" w:cs="Arial"/>
          <w:color w:val="010000"/>
          <w:sz w:val="20"/>
        </w:rPr>
        <w:lastRenderedPageBreak/>
        <w:t>bonuses in 2025.</w:t>
      </w:r>
    </w:p>
    <w:p w14:paraId="22CEF4DF" w14:textId="77777777" w:rsidR="005A6C86" w:rsidRPr="00994337" w:rsidRDefault="00994337" w:rsidP="00985EFE">
      <w:pPr>
        <w:numPr>
          <w:ilvl w:val="0"/>
          <w:numId w:val="1"/>
        </w:numPr>
        <w:pBdr>
          <w:top w:val="nil"/>
          <w:left w:val="nil"/>
          <w:bottom w:val="nil"/>
          <w:right w:val="nil"/>
          <w:between w:val="nil"/>
        </w:pBdr>
        <w:tabs>
          <w:tab w:val="left" w:pos="432"/>
          <w:tab w:val="left" w:pos="1132"/>
        </w:tabs>
        <w:spacing w:after="120" w:line="360" w:lineRule="auto"/>
        <w:jc w:val="both"/>
        <w:rPr>
          <w:rFonts w:ascii="Arial" w:eastAsia="Arial" w:hAnsi="Arial" w:cs="Arial"/>
          <w:color w:val="010000"/>
          <w:sz w:val="20"/>
          <w:szCs w:val="20"/>
        </w:rPr>
      </w:pPr>
      <w:r w:rsidRPr="00994337">
        <w:rPr>
          <w:rFonts w:ascii="Arial" w:hAnsi="Arial" w:cs="Arial"/>
          <w:color w:val="010000"/>
          <w:sz w:val="20"/>
        </w:rPr>
        <w:t>Plan of the fund of salary and remuneration in 2026 as follows:</w:t>
      </w:r>
    </w:p>
    <w:p w14:paraId="7894D956" w14:textId="77777777" w:rsidR="005A6C86" w:rsidRPr="00994337" w:rsidRDefault="00994337" w:rsidP="00985EFE">
      <w:pPr>
        <w:numPr>
          <w:ilvl w:val="0"/>
          <w:numId w:val="2"/>
        </w:numPr>
        <w:pBdr>
          <w:top w:val="nil"/>
          <w:left w:val="nil"/>
          <w:bottom w:val="nil"/>
          <w:right w:val="nil"/>
          <w:between w:val="nil"/>
        </w:pBdr>
        <w:tabs>
          <w:tab w:val="left" w:pos="432"/>
          <w:tab w:val="left" w:pos="1026"/>
        </w:tabs>
        <w:spacing w:after="120" w:line="360" w:lineRule="auto"/>
        <w:jc w:val="both"/>
        <w:rPr>
          <w:rFonts w:ascii="Arial" w:eastAsia="Arial" w:hAnsi="Arial" w:cs="Arial"/>
          <w:color w:val="010000"/>
          <w:sz w:val="20"/>
          <w:szCs w:val="20"/>
        </w:rPr>
      </w:pPr>
      <w:r w:rsidRPr="00994337">
        <w:rPr>
          <w:rFonts w:ascii="Arial" w:hAnsi="Arial" w:cs="Arial"/>
          <w:color w:val="010000"/>
          <w:sz w:val="20"/>
        </w:rPr>
        <w:t>The salary fund for executive Management Board (6 persons) is VND5,040,000,000</w:t>
      </w:r>
    </w:p>
    <w:p w14:paraId="0162BFA4" w14:textId="77777777" w:rsidR="005A6C86" w:rsidRPr="00994337" w:rsidRDefault="00994337" w:rsidP="00985EFE">
      <w:pPr>
        <w:numPr>
          <w:ilvl w:val="0"/>
          <w:numId w:val="2"/>
        </w:numPr>
        <w:pBdr>
          <w:top w:val="nil"/>
          <w:left w:val="nil"/>
          <w:bottom w:val="nil"/>
          <w:right w:val="nil"/>
          <w:between w:val="nil"/>
        </w:pBdr>
        <w:tabs>
          <w:tab w:val="left" w:pos="432"/>
          <w:tab w:val="left" w:pos="1021"/>
        </w:tabs>
        <w:spacing w:after="120" w:line="360" w:lineRule="auto"/>
        <w:jc w:val="both"/>
        <w:rPr>
          <w:rFonts w:ascii="Arial" w:eastAsia="Arial" w:hAnsi="Arial" w:cs="Arial"/>
          <w:color w:val="010000"/>
          <w:sz w:val="20"/>
          <w:szCs w:val="20"/>
        </w:rPr>
      </w:pPr>
      <w:r w:rsidRPr="00994337">
        <w:rPr>
          <w:rFonts w:ascii="Arial" w:hAnsi="Arial" w:cs="Arial"/>
          <w:color w:val="010000"/>
          <w:sz w:val="20"/>
        </w:rPr>
        <w:t xml:space="preserve">The remuneration fund for non-executive Board of Directors (4 persons) and non-executive Supervisory Board (2 persons): VND1,008,000,000 </w:t>
      </w:r>
    </w:p>
    <w:p w14:paraId="445EB2BF" w14:textId="77777777" w:rsidR="005A6C86" w:rsidRPr="00994337" w:rsidRDefault="00994337" w:rsidP="00985EFE">
      <w:pPr>
        <w:numPr>
          <w:ilvl w:val="0"/>
          <w:numId w:val="1"/>
        </w:numPr>
        <w:pBdr>
          <w:top w:val="nil"/>
          <w:left w:val="nil"/>
          <w:bottom w:val="nil"/>
          <w:right w:val="nil"/>
          <w:between w:val="nil"/>
        </w:pBdr>
        <w:tabs>
          <w:tab w:val="left" w:pos="432"/>
          <w:tab w:val="left" w:pos="1132"/>
        </w:tabs>
        <w:spacing w:after="120" w:line="360" w:lineRule="auto"/>
        <w:jc w:val="both"/>
        <w:rPr>
          <w:rFonts w:ascii="Arial" w:eastAsia="Arial" w:hAnsi="Arial" w:cs="Arial"/>
          <w:color w:val="010000"/>
          <w:sz w:val="20"/>
          <w:szCs w:val="20"/>
        </w:rPr>
      </w:pPr>
      <w:r w:rsidRPr="00994337">
        <w:rPr>
          <w:rFonts w:ascii="Arial" w:hAnsi="Arial" w:cs="Arial"/>
          <w:color w:val="010000"/>
          <w:sz w:val="20"/>
        </w:rPr>
        <w:t>Criteria of the fund of salary, remuneration and bonus implemented in 2026</w:t>
      </w:r>
    </w:p>
    <w:p w14:paraId="7FFC1DC1"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Assign the Board of Directors to develop criteria to determine the salary, remuneration and bonus fund for the executive and non-executive managers of the Company in 2026. In particular, the actual salary, remuneration, and bonus levels will be determined based on planned salaries linked to the achievement of production and business targets, profit targets for the year, capital preservation and development, and full fulfillment of obligations and responsibilities to the State and employees.</w:t>
      </w:r>
    </w:p>
    <w:p w14:paraId="060E6EA7"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‎‎Article 9. Terms of enforcement:</w:t>
      </w:r>
    </w:p>
    <w:p w14:paraId="72B7A1C1"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The Annual General Mandate 2026 of Quang Tri general trading joint stock company takes effect from April 24, 2026.</w:t>
      </w:r>
    </w:p>
    <w:p w14:paraId="09C565F3" w14:textId="77777777" w:rsidR="005A6C86" w:rsidRPr="00994337" w:rsidRDefault="00994337" w:rsidP="00985EF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994337">
        <w:rPr>
          <w:rFonts w:ascii="Arial" w:hAnsi="Arial" w:cs="Arial"/>
          <w:color w:val="010000"/>
          <w:sz w:val="20"/>
        </w:rPr>
        <w:t>All shareholders, members of the Board of Directors, the Supervisory Board, and the Executive Board of Quang Tri general trading joint stock company are responsible for implementing this General Mandate and organizing its implementation according to their respective functions and activities in accordance with the law and the Company's Charter.</w:t>
      </w:r>
    </w:p>
    <w:sectPr w:rsidR="005A6C86" w:rsidRPr="00994337" w:rsidSect="00994337">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932D2CD0-FD5D-4128-9C7B-31DC44560C7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CB4BEE7A-71AB-452F-8DA4-22D2B9C207E0}"/>
  </w:font>
  <w:font w:name="Calibri">
    <w:panose1 w:val="020F0502020204030204"/>
    <w:charset w:val="00"/>
    <w:family w:val="swiss"/>
    <w:pitch w:val="variable"/>
    <w:sig w:usb0="E4002EFF" w:usb1="C200247B" w:usb2="00000009" w:usb3="00000000" w:csb0="000001FF" w:csb1="00000000"/>
    <w:embedRegular r:id="rId3" w:fontKey="{9E97F4F8-59B4-434A-BB18-99658637B0FD}"/>
  </w:font>
  <w:font w:name="Cambria">
    <w:panose1 w:val="02040503050406030204"/>
    <w:charset w:val="00"/>
    <w:family w:val="roman"/>
    <w:pitch w:val="variable"/>
    <w:sig w:usb0="E00006FF" w:usb1="420024FF" w:usb2="02000000" w:usb3="00000000" w:csb0="0000019F" w:csb1="00000000"/>
    <w:embedRegular r:id="rId4" w:fontKey="{F525762E-B153-4A89-AE9A-9660C9FFF08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A1A6B"/>
    <w:multiLevelType w:val="multilevel"/>
    <w:tmpl w:val="E488F438"/>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FA6320"/>
    <w:multiLevelType w:val="multilevel"/>
    <w:tmpl w:val="2EFE47E6"/>
    <w:lvl w:ilvl="0">
      <w:start w:val="1"/>
      <w:numFmt w:val="decimal"/>
      <w:lvlText w:val="%1."/>
      <w:lvlJc w:val="left"/>
      <w:pPr>
        <w:ind w:left="0" w:firstLine="0"/>
      </w:pPr>
      <w:rPr>
        <w:rFonts w:ascii="Arial" w:eastAsia="Arial" w:hAnsi="Arial" w:cs="Arial"/>
        <w:b w:val="0"/>
        <w:bCs w:val="0"/>
        <w:i w:val="0"/>
        <w:iCs w:val="0"/>
        <w:smallCaps w:val="0"/>
        <w:strike w:val="0"/>
        <w:color w:val="151515"/>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5D2B0343"/>
    <w:multiLevelType w:val="multilevel"/>
    <w:tmpl w:val="C50A8490"/>
    <w:lvl w:ilvl="0">
      <w:start w:val="1"/>
      <w:numFmt w:val="bullet"/>
      <w:lvlText w:val="-"/>
      <w:lvlJc w:val="left"/>
      <w:pPr>
        <w:ind w:left="0" w:firstLine="0"/>
      </w:pPr>
      <w:rPr>
        <w:rFonts w:ascii="Arial" w:eastAsia="Arial" w:hAnsi="Arial" w:cs="Arial"/>
        <w:b w:val="0"/>
        <w:bCs w:val="0"/>
        <w:i w:val="0"/>
        <w:iCs w:val="0"/>
        <w:smallCaps w:val="0"/>
        <w:strike w:val="0"/>
        <w:color w:val="151515"/>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58567257">
    <w:abstractNumId w:val="1"/>
  </w:num>
  <w:num w:numId="2" w16cid:durableId="1287735862">
    <w:abstractNumId w:val="2"/>
  </w:num>
  <w:num w:numId="3" w16cid:durableId="1866819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C86"/>
    <w:rsid w:val="00170C93"/>
    <w:rsid w:val="005A6C86"/>
    <w:rsid w:val="00985EFE"/>
    <w:rsid w:val="00994337"/>
    <w:rsid w:val="00FF0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7655E"/>
  <w15:docId w15:val="{95EB9AF6-932C-4169-9DAB-F2FB23D65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XZjyNgMNEkGNBAw00d0uMYJ1gg==">CgMxLjA4AHIhMUhMenM2LVJaWHV5aHlWd3pCU2FCZXBXNnZZbU14emt3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1293</Words>
  <Characters>7376</Characters>
  <Application>Microsoft Office Word</Application>
  <DocSecurity>0</DocSecurity>
  <Lines>61</Lines>
  <Paragraphs>17</Paragraphs>
  <ScaleCrop>false</ScaleCrop>
  <Company>Microsoft</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4</cp:revision>
  <dcterms:created xsi:type="dcterms:W3CDTF">2026-05-06T02:33:00Z</dcterms:created>
  <dcterms:modified xsi:type="dcterms:W3CDTF">2026-05-06T09:00:00Z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6657cd35-4ecf-4dfe-b535-1790364a57f9</vt:lpwstr>
  </property>
</Properties>
</file>