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F11363">
        <w:rPr>
          <w:rFonts w:ascii="Arial" w:hAnsi="Arial" w:cs="Arial"/>
          <w:b/>
          <w:color w:val="010000"/>
          <w:sz w:val="20"/>
        </w:rPr>
        <w:t>ONW: Annual General Mandate 2026</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 xml:space="preserve">On April 25, 2026, One World Services Joint Stock Company announced General Mandate No. 01.2026/NQ-DHDCD/ONW as follows: </w:t>
      </w:r>
    </w:p>
    <w:p w:rsidR="00925F2A" w:rsidRPr="00F11363" w:rsidRDefault="00F11363" w:rsidP="00A01BE6">
      <w:pPr>
        <w:pBdr>
          <w:top w:val="nil"/>
          <w:left w:val="nil"/>
          <w:bottom w:val="nil"/>
          <w:right w:val="nil"/>
          <w:between w:val="nil"/>
        </w:pBdr>
        <w:spacing w:after="120" w:line="360" w:lineRule="auto"/>
        <w:jc w:val="both"/>
        <w:rPr>
          <w:rFonts w:ascii="Arial" w:hAnsi="Arial" w:cs="Arial"/>
          <w:color w:val="010000"/>
          <w:sz w:val="20"/>
        </w:rPr>
      </w:pPr>
      <w:r w:rsidRPr="00F11363">
        <w:rPr>
          <w:rFonts w:ascii="Arial" w:hAnsi="Arial" w:cs="Arial"/>
          <w:color w:val="010000"/>
          <w:sz w:val="20"/>
        </w:rPr>
        <w:t>Article 1: Approve Report No. 01.2026/BC/DHDCD/ONW on the operating results of the Board of Directors and each member of the Board in 2025 and the business plan for 2026.</w:t>
      </w:r>
    </w:p>
    <w:p w:rsidR="00F11363"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Production and business results in 2025</w:t>
      </w:r>
    </w:p>
    <w:tbl>
      <w:tblPr>
        <w:tblStyle w:val="a"/>
        <w:tblW w:w="5000" w:type="pct"/>
        <w:tblInd w:w="0" w:type="dxa"/>
        <w:tblLook w:val="0000" w:firstRow="0" w:lastRow="0" w:firstColumn="0" w:lastColumn="0" w:noHBand="0" w:noVBand="0"/>
      </w:tblPr>
      <w:tblGrid>
        <w:gridCol w:w="678"/>
        <w:gridCol w:w="3252"/>
        <w:gridCol w:w="1746"/>
        <w:gridCol w:w="1816"/>
        <w:gridCol w:w="1535"/>
      </w:tblGrid>
      <w:tr w:rsidR="00925F2A" w:rsidRPr="00F11363" w:rsidTr="00F11363">
        <w:tc>
          <w:tcPr>
            <w:tcW w:w="5000" w:type="pct"/>
            <w:gridSpan w:val="5"/>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Unit: VND</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 xml:space="preserve">No. </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Targets</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2024</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2025</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2025/2024</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Revenue from goods sales and service provision</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28,764,891,665</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22,746,160,270</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79.1%</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Cost of goods sold</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27,864,396,608</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17,844,204,306</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64.0%</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Revenue from financial activities</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549,119</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3,699,058</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673.6%</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4</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Financial expenses</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(29,448,299)</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784,482,192</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5</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Selling expense</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General and administrative expense</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398,194,315</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681,402,740</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171.1%</w:t>
            </w:r>
          </w:p>
        </w:tc>
      </w:tr>
      <w:tr w:rsidR="00925F2A" w:rsidRPr="00F11363" w:rsidTr="00F11363">
        <w:tc>
          <w:tcPr>
            <w:tcW w:w="376"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7</w:t>
            </w:r>
          </w:p>
        </w:tc>
        <w:tc>
          <w:tcPr>
            <w:tcW w:w="1801"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Profit before tax</w:t>
            </w:r>
          </w:p>
        </w:tc>
        <w:tc>
          <w:tcPr>
            <w:tcW w:w="967" w:type="pct"/>
            <w:tcBorders>
              <w:top w:val="single" w:sz="4" w:space="0" w:color="000000"/>
              <w:left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531,798,621</w:t>
            </w:r>
          </w:p>
        </w:tc>
        <w:tc>
          <w:tcPr>
            <w:tcW w:w="1006" w:type="pct"/>
            <w:tcBorders>
              <w:top w:val="single" w:sz="4" w:space="0" w:color="000000"/>
              <w:left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3,409,458,032</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641.1%</w:t>
            </w:r>
          </w:p>
        </w:tc>
      </w:tr>
      <w:tr w:rsidR="00925F2A" w:rsidRPr="00F11363" w:rsidTr="00F11363">
        <w:tc>
          <w:tcPr>
            <w:tcW w:w="376"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8</w:t>
            </w:r>
          </w:p>
        </w:tc>
        <w:tc>
          <w:tcPr>
            <w:tcW w:w="180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Profit after tax</w:t>
            </w:r>
          </w:p>
        </w:tc>
        <w:tc>
          <w:tcPr>
            <w:tcW w:w="96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443,724,652</w:t>
            </w:r>
          </w:p>
        </w:tc>
        <w:tc>
          <w:tcPr>
            <w:tcW w:w="1006" w:type="pct"/>
            <w:tcBorders>
              <w:top w:val="single" w:sz="4" w:space="0" w:color="000000"/>
              <w:left w:val="single" w:sz="4" w:space="0" w:color="000000"/>
              <w:bottom w:val="single" w:sz="4" w:space="0" w:color="000000"/>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2,786,859,205</w:t>
            </w:r>
          </w:p>
        </w:tc>
        <w:tc>
          <w:tcPr>
            <w:tcW w:w="850"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628.1%</w:t>
            </w:r>
          </w:p>
        </w:tc>
      </w:tr>
    </w:tbl>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Plan of production and business for 2026</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Unit: VND</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3"/>
        <w:gridCol w:w="2990"/>
        <w:gridCol w:w="1722"/>
        <w:gridCol w:w="1784"/>
        <w:gridCol w:w="1868"/>
      </w:tblGrid>
      <w:tr w:rsidR="00925F2A" w:rsidRPr="00F11363" w:rsidTr="00F11363">
        <w:tc>
          <w:tcPr>
            <w:tcW w:w="362"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 xml:space="preserve">No. </w:t>
            </w:r>
          </w:p>
        </w:tc>
        <w:tc>
          <w:tcPr>
            <w:tcW w:w="1658"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Targets</w:t>
            </w:r>
          </w:p>
        </w:tc>
        <w:tc>
          <w:tcPr>
            <w:tcW w:w="955"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Results 2025</w:t>
            </w:r>
          </w:p>
        </w:tc>
        <w:tc>
          <w:tcPr>
            <w:tcW w:w="989"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Plan 2026</w:t>
            </w:r>
          </w:p>
        </w:tc>
        <w:tc>
          <w:tcPr>
            <w:tcW w:w="1036"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Plan 2026/Results 2025</w:t>
            </w:r>
          </w:p>
        </w:tc>
      </w:tr>
      <w:tr w:rsidR="00925F2A" w:rsidRPr="00F11363" w:rsidTr="00F11363">
        <w:tc>
          <w:tcPr>
            <w:tcW w:w="362"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w:t>
            </w:r>
          </w:p>
        </w:tc>
        <w:tc>
          <w:tcPr>
            <w:tcW w:w="1658"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Revenue from goods sales and service provision</w:t>
            </w:r>
          </w:p>
        </w:tc>
        <w:tc>
          <w:tcPr>
            <w:tcW w:w="955"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22,746,160,270</w:t>
            </w:r>
          </w:p>
        </w:tc>
        <w:tc>
          <w:tcPr>
            <w:tcW w:w="989"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164,300,000,000</w:t>
            </w:r>
          </w:p>
        </w:tc>
        <w:tc>
          <w:tcPr>
            <w:tcW w:w="1036"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722.3%</w:t>
            </w:r>
          </w:p>
        </w:tc>
      </w:tr>
      <w:tr w:rsidR="00925F2A" w:rsidRPr="00F11363" w:rsidTr="00F11363">
        <w:tc>
          <w:tcPr>
            <w:tcW w:w="362"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w:t>
            </w:r>
          </w:p>
        </w:tc>
        <w:tc>
          <w:tcPr>
            <w:tcW w:w="1658"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Cost of goods sold</w:t>
            </w:r>
          </w:p>
        </w:tc>
        <w:tc>
          <w:tcPr>
            <w:tcW w:w="955"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17,844,204,306</w:t>
            </w:r>
          </w:p>
        </w:tc>
        <w:tc>
          <w:tcPr>
            <w:tcW w:w="989"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143,800,000,000</w:t>
            </w:r>
          </w:p>
        </w:tc>
        <w:tc>
          <w:tcPr>
            <w:tcW w:w="1036"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805.9%</w:t>
            </w:r>
          </w:p>
        </w:tc>
      </w:tr>
      <w:tr w:rsidR="00925F2A" w:rsidRPr="00F11363" w:rsidTr="00F11363">
        <w:tc>
          <w:tcPr>
            <w:tcW w:w="362"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w:t>
            </w:r>
          </w:p>
        </w:tc>
        <w:tc>
          <w:tcPr>
            <w:tcW w:w="1658"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General and administrative expense</w:t>
            </w:r>
          </w:p>
        </w:tc>
        <w:tc>
          <w:tcPr>
            <w:tcW w:w="955"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681,402,740</w:t>
            </w:r>
          </w:p>
        </w:tc>
        <w:tc>
          <w:tcPr>
            <w:tcW w:w="989"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3,286,000,000</w:t>
            </w:r>
          </w:p>
        </w:tc>
        <w:tc>
          <w:tcPr>
            <w:tcW w:w="1036" w:type="pct"/>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482.2%</w:t>
            </w:r>
          </w:p>
        </w:tc>
      </w:tr>
      <w:tr w:rsidR="00925F2A" w:rsidRPr="00F11363" w:rsidTr="00F11363">
        <w:tc>
          <w:tcPr>
            <w:tcW w:w="362" w:type="pct"/>
            <w:tcBorders>
              <w:bottom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4</w:t>
            </w:r>
          </w:p>
        </w:tc>
        <w:tc>
          <w:tcPr>
            <w:tcW w:w="1658" w:type="pct"/>
            <w:tcBorders>
              <w:bottom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Profit before tax</w:t>
            </w:r>
          </w:p>
        </w:tc>
        <w:tc>
          <w:tcPr>
            <w:tcW w:w="955" w:type="pct"/>
            <w:tcBorders>
              <w:bottom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3,409,458,032</w:t>
            </w:r>
          </w:p>
        </w:tc>
        <w:tc>
          <w:tcPr>
            <w:tcW w:w="989" w:type="pct"/>
            <w:tcBorders>
              <w:bottom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17,213,000,000</w:t>
            </w:r>
          </w:p>
        </w:tc>
        <w:tc>
          <w:tcPr>
            <w:tcW w:w="1036" w:type="pct"/>
            <w:tcBorders>
              <w:bottom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504.9%</w:t>
            </w:r>
          </w:p>
        </w:tc>
      </w:tr>
      <w:tr w:rsidR="00925F2A" w:rsidRPr="00F11363" w:rsidTr="00F11363">
        <w:tc>
          <w:tcPr>
            <w:tcW w:w="362"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5</w:t>
            </w:r>
          </w:p>
        </w:tc>
        <w:tc>
          <w:tcPr>
            <w:tcW w:w="1658"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Profit after tax</w:t>
            </w:r>
          </w:p>
        </w:tc>
        <w:tc>
          <w:tcPr>
            <w:tcW w:w="955"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2,786,859,205</w:t>
            </w:r>
          </w:p>
        </w:tc>
        <w:tc>
          <w:tcPr>
            <w:tcW w:w="989"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13,771,000,000</w:t>
            </w:r>
          </w:p>
        </w:tc>
        <w:tc>
          <w:tcPr>
            <w:tcW w:w="1036" w:type="pct"/>
            <w:tcBorders>
              <w:top w:val="single" w:sz="4" w:space="0" w:color="auto"/>
              <w:left w:val="single" w:sz="4" w:space="0" w:color="auto"/>
              <w:bottom w:val="single" w:sz="4" w:space="0" w:color="auto"/>
              <w:right w:val="single" w:sz="4" w:space="0" w:color="auto"/>
            </w:tcBorders>
            <w:shd w:val="clear" w:color="auto" w:fill="auto"/>
            <w:tcMar>
              <w:top w:w="0" w:type="dxa"/>
              <w:bottom w:w="0" w:type="dxa"/>
            </w:tcMar>
            <w:vAlign w:val="center"/>
          </w:tcPr>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494.1%</w:t>
            </w:r>
          </w:p>
        </w:tc>
      </w:tr>
    </w:tbl>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Article 2: Approve Report No. 02/2026/BC/DHDCD/ONW of the Supervisory Board on the busin</w:t>
      </w:r>
      <w:r w:rsidR="00A01BE6">
        <w:rPr>
          <w:rFonts w:ascii="Arial" w:hAnsi="Arial" w:cs="Arial"/>
          <w:color w:val="010000"/>
          <w:sz w:val="20"/>
        </w:rPr>
        <w:t xml:space="preserve">ess results of the Company, </w:t>
      </w:r>
      <w:r w:rsidRPr="00F11363">
        <w:rPr>
          <w:rFonts w:ascii="Arial" w:hAnsi="Arial" w:cs="Arial"/>
          <w:color w:val="010000"/>
          <w:sz w:val="20"/>
        </w:rPr>
        <w:t xml:space="preserve">operating results of the Board </w:t>
      </w:r>
      <w:r w:rsidR="00A01BE6">
        <w:rPr>
          <w:rFonts w:ascii="Arial" w:hAnsi="Arial" w:cs="Arial"/>
          <w:color w:val="010000"/>
          <w:sz w:val="20"/>
        </w:rPr>
        <w:t xml:space="preserve">of Directors and Managing Director in 2025 and </w:t>
      </w:r>
      <w:r w:rsidRPr="00F11363">
        <w:rPr>
          <w:rFonts w:ascii="Arial" w:hAnsi="Arial" w:cs="Arial"/>
          <w:color w:val="010000"/>
          <w:sz w:val="20"/>
        </w:rPr>
        <w:t>Self-Assessment Report on the operating results of the Supervisory Board and its supervisors.</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 xml:space="preserve">Article 3: Approve Proposal No. 01/2026/TT/DHDCD/ONW on approving the Audited Financial </w:t>
      </w:r>
      <w:r w:rsidRPr="00F11363">
        <w:rPr>
          <w:rFonts w:ascii="Arial" w:hAnsi="Arial" w:cs="Arial"/>
          <w:color w:val="010000"/>
          <w:sz w:val="20"/>
        </w:rPr>
        <w:lastRenderedPageBreak/>
        <w:t>Statements 2025; profit distribution; and remuneration payment for the Board of Directors and Supervisory Board.</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The accumulated undistributed profit after tax as of December 31, 2025 was negative. Therefore, the Board of Directors proposed not to make any appropriation for funds and not to distribute profits.</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Article 4: Approve Proposal</w:t>
      </w:r>
      <w:r w:rsidR="001D5F25">
        <w:rPr>
          <w:rFonts w:ascii="Arial" w:hAnsi="Arial" w:cs="Arial"/>
          <w:color w:val="010000"/>
          <w:sz w:val="20"/>
        </w:rPr>
        <w:t xml:space="preserve"> No. 02/2026/TT/DHDCD/ONW on</w:t>
      </w:r>
      <w:r w:rsidRPr="00F11363">
        <w:rPr>
          <w:rFonts w:ascii="Arial" w:hAnsi="Arial" w:cs="Arial"/>
          <w:color w:val="010000"/>
          <w:sz w:val="20"/>
        </w:rPr>
        <w:t xml:space="preserve"> selection of an audit company for 2026.</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Article 5: Approve Proposal</w:t>
      </w:r>
      <w:r w:rsidR="001D5F25">
        <w:rPr>
          <w:rFonts w:ascii="Arial" w:hAnsi="Arial" w:cs="Arial"/>
          <w:color w:val="010000"/>
          <w:sz w:val="20"/>
        </w:rPr>
        <w:t xml:space="preserve"> No. 03/2026/TT/DHDCD/ONW on</w:t>
      </w:r>
      <w:bookmarkStart w:id="0" w:name="_GoBack"/>
      <w:bookmarkEnd w:id="0"/>
      <w:r w:rsidRPr="00F11363">
        <w:rPr>
          <w:rFonts w:ascii="Arial" w:hAnsi="Arial" w:cs="Arial"/>
          <w:color w:val="010000"/>
          <w:sz w:val="20"/>
        </w:rPr>
        <w:t xml:space="preserve"> change of the Company’s name.</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Article 6: Approve Proposal No. 04/2026/TT/DHDCD/ONW on the approval of the report on the increased contributed charter capital from January 1</w:t>
      </w:r>
      <w:r w:rsidR="00A01BE6">
        <w:rPr>
          <w:rFonts w:ascii="Arial" w:hAnsi="Arial" w:cs="Arial"/>
          <w:color w:val="010000"/>
          <w:sz w:val="20"/>
        </w:rPr>
        <w:t>, 2026 to April 3, 2026 and</w:t>
      </w:r>
      <w:r w:rsidRPr="00F11363">
        <w:rPr>
          <w:rFonts w:ascii="Arial" w:hAnsi="Arial" w:cs="Arial"/>
          <w:color w:val="010000"/>
          <w:sz w:val="20"/>
        </w:rPr>
        <w:t xml:space="preserve"> report on the use of capital proceeds from the private placement issuance of 3,500,000 shares for the period from March 16, 2026 to April 3, 2026, which has been audited.</w:t>
      </w:r>
    </w:p>
    <w:p w:rsidR="00925F2A" w:rsidRPr="00F11363" w:rsidRDefault="00F11363" w:rsidP="00A01BE6">
      <w:pPr>
        <w:pBdr>
          <w:top w:val="nil"/>
          <w:left w:val="nil"/>
          <w:bottom w:val="nil"/>
          <w:right w:val="nil"/>
          <w:between w:val="nil"/>
        </w:pBdr>
        <w:spacing w:after="120" w:line="360" w:lineRule="auto"/>
        <w:jc w:val="both"/>
        <w:rPr>
          <w:rFonts w:ascii="Arial" w:eastAsia="Arial" w:hAnsi="Arial" w:cs="Arial"/>
          <w:color w:val="010000"/>
          <w:sz w:val="20"/>
          <w:szCs w:val="20"/>
        </w:rPr>
      </w:pPr>
      <w:r w:rsidRPr="00F11363">
        <w:rPr>
          <w:rFonts w:ascii="Arial" w:hAnsi="Arial" w:cs="Arial"/>
          <w:color w:val="010000"/>
          <w:sz w:val="20"/>
        </w:rPr>
        <w:t>Article 7: This General Mandate takes effect from the date of app</w:t>
      </w:r>
      <w:r w:rsidR="00A01BE6">
        <w:rPr>
          <w:rFonts w:ascii="Arial" w:hAnsi="Arial" w:cs="Arial"/>
          <w:color w:val="010000"/>
          <w:sz w:val="20"/>
        </w:rPr>
        <w:t>roval. The Board of Directors, Supervisory Board</w:t>
      </w:r>
      <w:r w:rsidRPr="00F11363">
        <w:rPr>
          <w:rFonts w:ascii="Arial" w:hAnsi="Arial" w:cs="Arial"/>
          <w:color w:val="010000"/>
          <w:sz w:val="20"/>
        </w:rPr>
        <w:t xml:space="preserve"> and </w:t>
      </w:r>
      <w:r w:rsidR="00A01BE6">
        <w:rPr>
          <w:rFonts w:ascii="Arial" w:hAnsi="Arial" w:cs="Arial"/>
          <w:color w:val="010000"/>
          <w:sz w:val="20"/>
        </w:rPr>
        <w:t>Executive Board</w:t>
      </w:r>
      <w:r w:rsidRPr="00F11363">
        <w:rPr>
          <w:rFonts w:ascii="Arial" w:hAnsi="Arial" w:cs="Arial"/>
          <w:color w:val="010000"/>
          <w:sz w:val="20"/>
        </w:rPr>
        <w:t xml:space="preserve"> are responsible for implementing this General Mandate.</w:t>
      </w:r>
    </w:p>
    <w:sectPr w:rsidR="00925F2A" w:rsidRPr="00F11363" w:rsidSect="00F11363">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83A95052-1AC8-4C90-999E-F61A3DEBFDD4}"/>
    <w:embedBold r:id="rId2" w:fontKey="{3EC66E09-A94F-4E50-8182-5B76164F211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E4EA1CF-6D95-4A11-802F-DA208E26C999}"/>
  </w:font>
  <w:font w:name="Calibri">
    <w:panose1 w:val="020F0502020204030204"/>
    <w:charset w:val="00"/>
    <w:family w:val="swiss"/>
    <w:pitch w:val="variable"/>
    <w:sig w:usb0="E4002EFF" w:usb1="C000247B" w:usb2="00000009" w:usb3="00000000" w:csb0="000001FF" w:csb1="00000000"/>
    <w:embedRegular r:id="rId4" w:fontKey="{296895E5-BA24-48F1-9571-7D08DB24DA98}"/>
  </w:font>
  <w:font w:name="Cambria">
    <w:panose1 w:val="02040503050406030204"/>
    <w:charset w:val="00"/>
    <w:family w:val="roman"/>
    <w:pitch w:val="variable"/>
    <w:sig w:usb0="E00006FF" w:usb1="420024FF" w:usb2="02000000" w:usb3="00000000" w:csb0="0000019F" w:csb1="00000000"/>
    <w:embedRegular r:id="rId5" w:fontKey="{460114E4-F8F4-4797-8ED2-C09610C83D0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E7DD9"/>
    <w:multiLevelType w:val="multilevel"/>
    <w:tmpl w:val="7D98996A"/>
    <w:lvl w:ilvl="0">
      <w:start w:val="2"/>
      <w:numFmt w:val="upperRoman"/>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F2A"/>
    <w:rsid w:val="001D5F25"/>
    <w:rsid w:val="00925F2A"/>
    <w:rsid w:val="00A01BE6"/>
    <w:rsid w:val="00F11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52D73"/>
  <w15:docId w15:val="{2F2BC240-9333-4A05-B9D2-5310078A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jD5fFOirE9wiAwfPmMlSFESu4w==">CgMxLjA4AHIhMXpKaFF0ZGVES1VCcmcycnh3NmZUQkpRSTFoUUtQUGpz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3</cp:revision>
  <dcterms:created xsi:type="dcterms:W3CDTF">2026-05-07T04:19:00Z</dcterms:created>
  <dcterms:modified xsi:type="dcterms:W3CDTF">2026-05-07T04:19:00Z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99302fd4-6e1b-4232-8af9-6f9ece246d2c</vt:lpwstr>
  </property>
</Properties>
</file>