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691328" w:rsidRPr="00AD3056" w:rsidRDefault="00AD3056" w:rsidP="009B549D">
      <w:pPr>
        <w:pBdr>
          <w:top w:val="nil"/>
          <w:left w:val="nil"/>
          <w:bottom w:val="nil"/>
          <w:right w:val="nil"/>
          <w:between w:val="nil"/>
        </w:pBdr>
        <w:spacing w:after="120" w:line="360" w:lineRule="auto"/>
        <w:jc w:val="both"/>
        <w:rPr>
          <w:rFonts w:ascii="Arial" w:eastAsia="Arial" w:hAnsi="Arial" w:cs="Arial"/>
          <w:b/>
          <w:bCs/>
          <w:color w:val="010000"/>
          <w:sz w:val="20"/>
          <w:szCs w:val="20"/>
        </w:rPr>
      </w:pPr>
      <w:r w:rsidRPr="00AD3056">
        <w:rPr>
          <w:rFonts w:ascii="Arial" w:hAnsi="Arial" w:cs="Arial"/>
          <w:b/>
          <w:color w:val="010000"/>
          <w:sz w:val="20"/>
        </w:rPr>
        <w:t>STT: Notice of failure to meet conditions of a public company</w:t>
      </w:r>
    </w:p>
    <w:p w14:paraId="00000002" w14:textId="56274B34" w:rsidR="00691328" w:rsidRPr="00AD3056" w:rsidRDefault="00AD3056" w:rsidP="009B549D">
      <w:pPr>
        <w:pBdr>
          <w:top w:val="nil"/>
          <w:left w:val="nil"/>
          <w:bottom w:val="nil"/>
          <w:right w:val="nil"/>
          <w:between w:val="nil"/>
        </w:pBdr>
        <w:spacing w:after="120" w:line="360" w:lineRule="auto"/>
        <w:jc w:val="both"/>
        <w:rPr>
          <w:rFonts w:ascii="Arial" w:eastAsia="Arial" w:hAnsi="Arial" w:cs="Arial"/>
          <w:color w:val="010000"/>
          <w:sz w:val="20"/>
          <w:szCs w:val="20"/>
        </w:rPr>
      </w:pPr>
      <w:r w:rsidRPr="00AD3056">
        <w:rPr>
          <w:rFonts w:ascii="Arial" w:hAnsi="Arial" w:cs="Arial"/>
          <w:color w:val="010000"/>
          <w:sz w:val="20"/>
        </w:rPr>
        <w:t xml:space="preserve">On April 30, 2026, </w:t>
      </w:r>
      <w:proofErr w:type="spellStart"/>
      <w:r w:rsidRPr="00AD3056">
        <w:rPr>
          <w:rFonts w:ascii="Arial" w:hAnsi="Arial" w:cs="Arial"/>
          <w:color w:val="010000"/>
          <w:sz w:val="20"/>
        </w:rPr>
        <w:t>Saigontourist</w:t>
      </w:r>
      <w:proofErr w:type="spellEnd"/>
      <w:r w:rsidRPr="00AD3056">
        <w:rPr>
          <w:rFonts w:ascii="Arial" w:hAnsi="Arial" w:cs="Arial"/>
          <w:color w:val="010000"/>
          <w:sz w:val="20"/>
        </w:rPr>
        <w:t xml:space="preserve"> Transport Corporation announced Notice No. 025/2026/TB/STT on failure to meet the conditions of a public company, as follows: </w:t>
      </w:r>
    </w:p>
    <w:p w14:paraId="00000003" w14:textId="1E646CAB" w:rsidR="00691328" w:rsidRPr="00AD3056" w:rsidRDefault="00AD3056" w:rsidP="009B549D">
      <w:pPr>
        <w:pBdr>
          <w:top w:val="nil"/>
          <w:left w:val="nil"/>
          <w:bottom w:val="nil"/>
          <w:right w:val="nil"/>
          <w:between w:val="nil"/>
        </w:pBdr>
        <w:spacing w:after="120" w:line="360" w:lineRule="auto"/>
        <w:jc w:val="both"/>
        <w:rPr>
          <w:rFonts w:ascii="Arial" w:eastAsia="Arial" w:hAnsi="Arial" w:cs="Arial"/>
          <w:color w:val="010000"/>
          <w:sz w:val="20"/>
          <w:szCs w:val="20"/>
        </w:rPr>
      </w:pPr>
      <w:r w:rsidRPr="00AD3056">
        <w:rPr>
          <w:rFonts w:ascii="Arial" w:hAnsi="Arial" w:cs="Arial"/>
          <w:color w:val="010000"/>
          <w:sz w:val="20"/>
        </w:rPr>
        <w:t xml:space="preserve">Based on the audited Financial Statements as of December 31, 2025, the owners’ equity of </w:t>
      </w:r>
      <w:proofErr w:type="spellStart"/>
      <w:r w:rsidRPr="00AD3056">
        <w:rPr>
          <w:rFonts w:ascii="Arial" w:hAnsi="Arial" w:cs="Arial"/>
          <w:color w:val="010000"/>
          <w:sz w:val="20"/>
        </w:rPr>
        <w:t>Saigontourist</w:t>
      </w:r>
      <w:proofErr w:type="spellEnd"/>
      <w:r w:rsidRPr="00AD3056">
        <w:rPr>
          <w:rFonts w:ascii="Arial" w:hAnsi="Arial" w:cs="Arial"/>
          <w:color w:val="010000"/>
          <w:sz w:val="20"/>
        </w:rPr>
        <w:t xml:space="preserve"> Transport Corporation is (VND27,714,319,854), in reference to the provisions in point a, clause 1, Article 32 of the Law on Securities 2019, as amended and supplemented in point a, clause 11, Article 1 of Law No. 56/2024/QH15, specifically: A company must have owners’ equity of VND30 billion or more; therefore, at present, </w:t>
      </w:r>
      <w:proofErr w:type="spellStart"/>
      <w:r w:rsidRPr="00AD3056">
        <w:rPr>
          <w:rFonts w:ascii="Arial" w:hAnsi="Arial" w:cs="Arial"/>
          <w:color w:val="010000"/>
          <w:sz w:val="20"/>
        </w:rPr>
        <w:t>Saigontourist</w:t>
      </w:r>
      <w:proofErr w:type="spellEnd"/>
      <w:r w:rsidRPr="00AD3056">
        <w:rPr>
          <w:rFonts w:ascii="Arial" w:hAnsi="Arial" w:cs="Arial"/>
          <w:color w:val="010000"/>
          <w:sz w:val="20"/>
        </w:rPr>
        <w:t xml:space="preserve"> Transport Corporation does not meet the conditions to be considered a public company.</w:t>
      </w:r>
    </w:p>
    <w:p w14:paraId="00000004" w14:textId="77777777" w:rsidR="00691328" w:rsidRPr="00AD3056" w:rsidRDefault="00AD3056" w:rsidP="009B549D">
      <w:pPr>
        <w:pBdr>
          <w:top w:val="nil"/>
          <w:left w:val="nil"/>
          <w:bottom w:val="nil"/>
          <w:right w:val="nil"/>
          <w:between w:val="nil"/>
        </w:pBdr>
        <w:spacing w:after="120" w:line="360" w:lineRule="auto"/>
        <w:jc w:val="both"/>
        <w:rPr>
          <w:rFonts w:ascii="Arial" w:eastAsia="Arial" w:hAnsi="Arial" w:cs="Arial"/>
          <w:color w:val="010000"/>
          <w:sz w:val="20"/>
          <w:szCs w:val="20"/>
        </w:rPr>
      </w:pPr>
      <w:r w:rsidRPr="00AD3056">
        <w:rPr>
          <w:rFonts w:ascii="Arial" w:hAnsi="Arial" w:cs="Arial"/>
          <w:color w:val="010000"/>
          <w:sz w:val="20"/>
        </w:rPr>
        <w:t xml:space="preserve">According to clause 2, Article 38 of the Law on Securities, as amended and supplemented in 2024: “After 01 year from the date the company no longer satisfies the provisions in point a, clause 1, Article 32 of this Law, if the company still fails to meet the conditions of being a public company, it must submit a document requesting the cancellation of its public company status to the State Securities Commission for consideration of the cancellation of its public company status.” Therefore, </w:t>
      </w:r>
      <w:proofErr w:type="spellStart"/>
      <w:r w:rsidRPr="00AD3056">
        <w:rPr>
          <w:rFonts w:ascii="Arial" w:hAnsi="Arial" w:cs="Arial"/>
          <w:color w:val="010000"/>
          <w:sz w:val="20"/>
        </w:rPr>
        <w:t>Saigontourist</w:t>
      </w:r>
      <w:proofErr w:type="spellEnd"/>
      <w:r w:rsidRPr="00AD3056">
        <w:rPr>
          <w:rFonts w:ascii="Arial" w:hAnsi="Arial" w:cs="Arial"/>
          <w:color w:val="010000"/>
          <w:sz w:val="20"/>
        </w:rPr>
        <w:t xml:space="preserve"> Transport Corporation has 01 year to remedy the conditions required for public company status in accordance with this Law. In the coming period, </w:t>
      </w:r>
      <w:proofErr w:type="spellStart"/>
      <w:r w:rsidRPr="00AD3056">
        <w:rPr>
          <w:rFonts w:ascii="Arial" w:hAnsi="Arial" w:cs="Arial"/>
          <w:color w:val="010000"/>
          <w:sz w:val="20"/>
        </w:rPr>
        <w:t>Saigontourist</w:t>
      </w:r>
      <w:proofErr w:type="spellEnd"/>
      <w:r w:rsidRPr="00AD3056">
        <w:rPr>
          <w:rFonts w:ascii="Arial" w:hAnsi="Arial" w:cs="Arial"/>
          <w:color w:val="010000"/>
          <w:sz w:val="20"/>
        </w:rPr>
        <w:t xml:space="preserve"> Transport Corporation will proactively develop a plan to improve owners’ equity in order to meet the legal requirements for maintaining its status as a public company.</w:t>
      </w:r>
    </w:p>
    <w:sectPr w:rsidR="00691328" w:rsidRPr="00AD3056" w:rsidSect="00AD3056">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755F2EB1-895E-4368-BF45-0437C0DDD08C}"/>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96E05AC2-A6C5-49AE-B7B0-9185A7F9C3C0}"/>
  </w:font>
  <w:font w:name="Cambria">
    <w:panose1 w:val="02040503050406030204"/>
    <w:charset w:val="00"/>
    <w:family w:val="roman"/>
    <w:pitch w:val="variable"/>
    <w:sig w:usb0="E00006FF" w:usb1="420024FF" w:usb2="02000000" w:usb3="00000000" w:csb0="0000019F" w:csb1="00000000"/>
    <w:embedRegular r:id="rId3" w:fontKey="{97A9F253-811D-47AD-92D4-7E271ACA95D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3"/>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1328"/>
    <w:rsid w:val="00691328"/>
    <w:rsid w:val="009B549D"/>
    <w:rsid w:val="00AD3056"/>
    <w:rsid w:val="00B140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4EC3DB-592D-453B-AA80-CC5578FE6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KH1Ada5+QyvfWnN2OEQoVekyHg==">CgMxLjA4AHIhMWdmOTByeldBRHIxQXItYmd6bEdURklJQlR4b2RPcVFn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236</Words>
  <Characters>1349</Characters>
  <Application>Microsoft Office Word</Application>
  <DocSecurity>0</DocSecurity>
  <Lines>11</Lines>
  <Paragraphs>3</Paragraphs>
  <ScaleCrop>false</ScaleCrop>
  <Company>Microsoft</Company>
  <LinksUpToDate>false</LinksUpToDate>
  <CharactersWithSpaces>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Thi Quynh Trang</cp:lastModifiedBy>
  <cp:revision>4</cp:revision>
  <dcterms:created xsi:type="dcterms:W3CDTF">2026-05-12T02:00:00Z</dcterms:created>
  <dcterms:modified xsi:type="dcterms:W3CDTF">2026-05-12T03:58:00Z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f5284414-4da1-4aea-9d4d-d299361d4a91</vt:lpwstr>
  </property>
</Properties>
</file>