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B0B3D"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EF326F">
        <w:rPr>
          <w:rFonts w:ascii="Arial" w:hAnsi="Arial" w:cs="Arial"/>
          <w:b/>
          <w:color w:val="010000"/>
          <w:sz w:val="20"/>
          <w:szCs w:val="20"/>
        </w:rPr>
        <w:t>GND: Annual General Mandate 2026</w:t>
      </w:r>
    </w:p>
    <w:p w14:paraId="4A4AD4FD"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 xml:space="preserve">On April 28, 2026, Dong Nai Brick </w:t>
      </w:r>
      <w:proofErr w:type="gramStart"/>
      <w:r w:rsidRPr="00EF326F">
        <w:rPr>
          <w:rFonts w:ascii="Arial" w:hAnsi="Arial" w:cs="Arial"/>
          <w:color w:val="010000"/>
          <w:sz w:val="20"/>
          <w:szCs w:val="20"/>
        </w:rPr>
        <w:t>And</w:t>
      </w:r>
      <w:proofErr w:type="gramEnd"/>
      <w:r w:rsidRPr="00EF326F">
        <w:rPr>
          <w:rFonts w:ascii="Arial" w:hAnsi="Arial" w:cs="Arial"/>
          <w:color w:val="010000"/>
          <w:sz w:val="20"/>
          <w:szCs w:val="20"/>
        </w:rPr>
        <w:t xml:space="preserve"> Tile Corporation announced General Mandate No. 17-2026/NQ-DHDCD as follows: </w:t>
      </w:r>
    </w:p>
    <w:p w14:paraId="33D9BFBC"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Article1. Approve the Report on production and business activities of the Board of Directors in 2025 and the production and business plan for 2026</w:t>
      </w:r>
    </w:p>
    <w:p w14:paraId="439D5043"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The General Meeting approved the Company's Report on business activities in 2025 and the production and business plan for 2026 as follows:</w:t>
      </w:r>
    </w:p>
    <w:p w14:paraId="051CE054" w14:textId="77777777" w:rsidR="00DF6A70" w:rsidRPr="00EF326F" w:rsidRDefault="001209DA" w:rsidP="00EF326F">
      <w:pPr>
        <w:numPr>
          <w:ilvl w:val="0"/>
          <w:numId w:val="3"/>
        </w:numPr>
        <w:pBdr>
          <w:top w:val="nil"/>
          <w:left w:val="nil"/>
          <w:bottom w:val="nil"/>
          <w:right w:val="nil"/>
          <w:between w:val="nil"/>
        </w:pBdr>
        <w:tabs>
          <w:tab w:val="left" w:pos="432"/>
          <w:tab w:val="left" w:pos="874"/>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Production and business results in 2025:</w:t>
      </w:r>
    </w:p>
    <w:p w14:paraId="3FD69CA8" w14:textId="681BEE31" w:rsidR="00DF6A70" w:rsidRPr="00EF326F" w:rsidRDefault="00570FFD" w:rsidP="00EF326F">
      <w:pPr>
        <w:pBdr>
          <w:top w:val="nil"/>
          <w:left w:val="nil"/>
          <w:bottom w:val="nil"/>
          <w:right w:val="nil"/>
          <w:between w:val="nil"/>
        </w:pBdr>
        <w:tabs>
          <w:tab w:val="left" w:pos="432"/>
        </w:tabs>
        <w:spacing w:after="120" w:line="360" w:lineRule="auto"/>
        <w:jc w:val="both"/>
        <w:rPr>
          <w:rFonts w:ascii="Arial" w:eastAsia="Arial" w:hAnsi="Arial" w:cs="Arial"/>
          <w:i/>
          <w:iCs/>
          <w:color w:val="010000"/>
          <w:sz w:val="20"/>
          <w:szCs w:val="20"/>
        </w:rPr>
      </w:pP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Pr="00EF326F">
        <w:rPr>
          <w:rFonts w:ascii="Arial" w:hAnsi="Arial" w:cs="Arial"/>
          <w:i/>
          <w:iCs/>
          <w:color w:val="010000"/>
          <w:sz w:val="20"/>
          <w:szCs w:val="20"/>
        </w:rPr>
        <w:tab/>
      </w:r>
      <w:r w:rsidR="001209DA" w:rsidRPr="00EF326F">
        <w:rPr>
          <w:rFonts w:ascii="Arial" w:hAnsi="Arial" w:cs="Arial"/>
          <w:i/>
          <w:iCs/>
          <w:color w:val="010000"/>
          <w:sz w:val="20"/>
          <w:szCs w:val="20"/>
        </w:rPr>
        <w:t>Unit: Million VND</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35"/>
        <w:gridCol w:w="3270"/>
        <w:gridCol w:w="2399"/>
        <w:gridCol w:w="2813"/>
      </w:tblGrid>
      <w:tr w:rsidR="00DF6A70" w:rsidRPr="00EF326F" w14:paraId="4D7757CE" w14:textId="77777777" w:rsidTr="00570FFD">
        <w:tc>
          <w:tcPr>
            <w:tcW w:w="297" w:type="pct"/>
            <w:tcMar>
              <w:top w:w="0" w:type="dxa"/>
              <w:bottom w:w="0" w:type="dxa"/>
            </w:tcMar>
            <w:vAlign w:val="center"/>
          </w:tcPr>
          <w:p w14:paraId="27449DF8" w14:textId="57D71AC8" w:rsidR="00DF6A70" w:rsidRPr="00EF326F" w:rsidRDefault="001209DA" w:rsidP="00EF326F">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EF326F">
              <w:rPr>
                <w:rFonts w:ascii="Arial" w:hAnsi="Arial" w:cs="Arial"/>
                <w:b/>
                <w:bCs/>
                <w:color w:val="010000"/>
                <w:sz w:val="20"/>
                <w:szCs w:val="20"/>
              </w:rPr>
              <w:t>No.</w:t>
            </w:r>
          </w:p>
        </w:tc>
        <w:tc>
          <w:tcPr>
            <w:tcW w:w="1813" w:type="pct"/>
            <w:tcMar>
              <w:top w:w="0" w:type="dxa"/>
              <w:bottom w:w="0" w:type="dxa"/>
            </w:tcMar>
            <w:vAlign w:val="center"/>
          </w:tcPr>
          <w:p w14:paraId="0E6CEAC5"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EF326F">
              <w:rPr>
                <w:rFonts w:ascii="Arial" w:hAnsi="Arial" w:cs="Arial"/>
                <w:b/>
                <w:bCs/>
                <w:color w:val="010000"/>
                <w:sz w:val="20"/>
                <w:szCs w:val="20"/>
              </w:rPr>
              <w:t>Targets</w:t>
            </w:r>
          </w:p>
        </w:tc>
        <w:tc>
          <w:tcPr>
            <w:tcW w:w="1330" w:type="pct"/>
            <w:tcMar>
              <w:top w:w="0" w:type="dxa"/>
              <w:bottom w:w="0" w:type="dxa"/>
            </w:tcMar>
            <w:vAlign w:val="center"/>
          </w:tcPr>
          <w:p w14:paraId="03773979"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EF326F">
              <w:rPr>
                <w:rFonts w:ascii="Arial" w:hAnsi="Arial" w:cs="Arial"/>
                <w:b/>
                <w:bCs/>
                <w:color w:val="010000"/>
                <w:sz w:val="20"/>
                <w:szCs w:val="20"/>
              </w:rPr>
              <w:t>Plan 2025</w:t>
            </w:r>
          </w:p>
        </w:tc>
        <w:tc>
          <w:tcPr>
            <w:tcW w:w="1560" w:type="pct"/>
            <w:tcMar>
              <w:top w:w="0" w:type="dxa"/>
              <w:bottom w:w="0" w:type="dxa"/>
            </w:tcMar>
            <w:vAlign w:val="center"/>
          </w:tcPr>
          <w:p w14:paraId="0FE48963"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EF326F">
              <w:rPr>
                <w:rFonts w:ascii="Arial" w:hAnsi="Arial" w:cs="Arial"/>
                <w:b/>
                <w:bCs/>
                <w:color w:val="010000"/>
                <w:sz w:val="20"/>
                <w:szCs w:val="20"/>
              </w:rPr>
              <w:t>Results 2025</w:t>
            </w:r>
          </w:p>
        </w:tc>
      </w:tr>
      <w:tr w:rsidR="00DF6A70" w:rsidRPr="00EF326F" w14:paraId="6AB40EB4" w14:textId="77777777" w:rsidTr="00570FFD">
        <w:tc>
          <w:tcPr>
            <w:tcW w:w="297" w:type="pct"/>
            <w:tcMar>
              <w:top w:w="0" w:type="dxa"/>
              <w:bottom w:w="0" w:type="dxa"/>
            </w:tcMar>
            <w:vAlign w:val="center"/>
          </w:tcPr>
          <w:p w14:paraId="7670668E" w14:textId="77777777" w:rsidR="00DF6A70" w:rsidRPr="00EF326F" w:rsidRDefault="001209DA" w:rsidP="00EF326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1</w:t>
            </w:r>
          </w:p>
        </w:tc>
        <w:tc>
          <w:tcPr>
            <w:tcW w:w="1813" w:type="pct"/>
            <w:tcMar>
              <w:top w:w="0" w:type="dxa"/>
              <w:bottom w:w="0" w:type="dxa"/>
            </w:tcMar>
            <w:vAlign w:val="center"/>
          </w:tcPr>
          <w:p w14:paraId="511B44EE"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Total revenue</w:t>
            </w:r>
          </w:p>
        </w:tc>
        <w:tc>
          <w:tcPr>
            <w:tcW w:w="1330" w:type="pct"/>
            <w:tcMar>
              <w:top w:w="0" w:type="dxa"/>
              <w:bottom w:w="0" w:type="dxa"/>
            </w:tcMar>
            <w:vAlign w:val="center"/>
          </w:tcPr>
          <w:p w14:paraId="1E30354E"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250,000</w:t>
            </w:r>
          </w:p>
        </w:tc>
        <w:tc>
          <w:tcPr>
            <w:tcW w:w="1560" w:type="pct"/>
            <w:tcMar>
              <w:top w:w="0" w:type="dxa"/>
              <w:bottom w:w="0" w:type="dxa"/>
            </w:tcMar>
            <w:vAlign w:val="center"/>
          </w:tcPr>
          <w:p w14:paraId="3A79B8D1"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270,854</w:t>
            </w:r>
          </w:p>
        </w:tc>
      </w:tr>
      <w:tr w:rsidR="00DF6A70" w:rsidRPr="00EF326F" w14:paraId="765189CC" w14:textId="77777777" w:rsidTr="00570FFD">
        <w:tc>
          <w:tcPr>
            <w:tcW w:w="297" w:type="pct"/>
            <w:tcMar>
              <w:top w:w="0" w:type="dxa"/>
              <w:bottom w:w="0" w:type="dxa"/>
            </w:tcMar>
            <w:vAlign w:val="center"/>
          </w:tcPr>
          <w:p w14:paraId="18A4F4FF" w14:textId="77777777" w:rsidR="00DF6A70" w:rsidRPr="00EF326F" w:rsidRDefault="001209DA" w:rsidP="00EF326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w:t>
            </w:r>
          </w:p>
        </w:tc>
        <w:tc>
          <w:tcPr>
            <w:tcW w:w="1813" w:type="pct"/>
            <w:tcMar>
              <w:top w:w="0" w:type="dxa"/>
              <w:bottom w:w="0" w:type="dxa"/>
            </w:tcMar>
            <w:vAlign w:val="center"/>
          </w:tcPr>
          <w:p w14:paraId="0B5799CE"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Profit before tax</w:t>
            </w:r>
          </w:p>
        </w:tc>
        <w:tc>
          <w:tcPr>
            <w:tcW w:w="1330" w:type="pct"/>
            <w:tcMar>
              <w:top w:w="0" w:type="dxa"/>
              <w:bottom w:w="0" w:type="dxa"/>
            </w:tcMar>
            <w:vAlign w:val="center"/>
          </w:tcPr>
          <w:p w14:paraId="3AB42C08"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20,271</w:t>
            </w:r>
          </w:p>
        </w:tc>
        <w:tc>
          <w:tcPr>
            <w:tcW w:w="1560" w:type="pct"/>
            <w:tcMar>
              <w:top w:w="0" w:type="dxa"/>
              <w:bottom w:w="0" w:type="dxa"/>
            </w:tcMar>
            <w:vAlign w:val="center"/>
          </w:tcPr>
          <w:p w14:paraId="2D0A1197"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30,970</w:t>
            </w:r>
          </w:p>
        </w:tc>
      </w:tr>
      <w:tr w:rsidR="00DF6A70" w:rsidRPr="00EF326F" w14:paraId="3700F554" w14:textId="77777777" w:rsidTr="00570FFD">
        <w:tc>
          <w:tcPr>
            <w:tcW w:w="297" w:type="pct"/>
            <w:tcMar>
              <w:top w:w="0" w:type="dxa"/>
              <w:bottom w:w="0" w:type="dxa"/>
            </w:tcMar>
            <w:vAlign w:val="center"/>
          </w:tcPr>
          <w:p w14:paraId="31203CF0" w14:textId="77777777" w:rsidR="00DF6A70" w:rsidRPr="00EF326F" w:rsidRDefault="001209DA" w:rsidP="00EF326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3</w:t>
            </w:r>
          </w:p>
        </w:tc>
        <w:tc>
          <w:tcPr>
            <w:tcW w:w="1813" w:type="pct"/>
            <w:tcMar>
              <w:top w:w="0" w:type="dxa"/>
              <w:bottom w:w="0" w:type="dxa"/>
            </w:tcMar>
            <w:vAlign w:val="center"/>
          </w:tcPr>
          <w:p w14:paraId="3CCE9755"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Dividend rate</w:t>
            </w:r>
          </w:p>
        </w:tc>
        <w:tc>
          <w:tcPr>
            <w:tcW w:w="1330" w:type="pct"/>
            <w:tcMar>
              <w:top w:w="0" w:type="dxa"/>
              <w:bottom w:w="0" w:type="dxa"/>
            </w:tcMar>
            <w:vAlign w:val="center"/>
          </w:tcPr>
          <w:p w14:paraId="5C90710B"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20%/charter capital</w:t>
            </w:r>
          </w:p>
        </w:tc>
        <w:tc>
          <w:tcPr>
            <w:tcW w:w="1560" w:type="pct"/>
            <w:tcMar>
              <w:top w:w="0" w:type="dxa"/>
              <w:bottom w:w="0" w:type="dxa"/>
            </w:tcMar>
            <w:vAlign w:val="center"/>
          </w:tcPr>
          <w:p w14:paraId="2C4D92AE"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20%/charter capital</w:t>
            </w:r>
          </w:p>
        </w:tc>
      </w:tr>
    </w:tbl>
    <w:p w14:paraId="3AD0625F"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2. The business and production plan 2026</w:t>
      </w:r>
    </w:p>
    <w:p w14:paraId="675A9B98" w14:textId="77777777" w:rsidR="00DF6A70" w:rsidRPr="00931B4F" w:rsidRDefault="001209DA" w:rsidP="00931B4F">
      <w:pPr>
        <w:pBdr>
          <w:top w:val="nil"/>
          <w:left w:val="nil"/>
          <w:bottom w:val="nil"/>
          <w:right w:val="nil"/>
          <w:between w:val="nil"/>
        </w:pBdr>
        <w:tabs>
          <w:tab w:val="left" w:pos="432"/>
        </w:tabs>
        <w:spacing w:after="120" w:line="360" w:lineRule="auto"/>
        <w:jc w:val="right"/>
        <w:rPr>
          <w:rFonts w:ascii="Arial" w:eastAsia="Arial" w:hAnsi="Arial" w:cs="Arial"/>
          <w:i/>
          <w:iCs/>
          <w:color w:val="010000"/>
          <w:sz w:val="20"/>
          <w:szCs w:val="20"/>
        </w:rPr>
      </w:pPr>
      <w:r w:rsidRPr="00931B4F">
        <w:rPr>
          <w:rFonts w:ascii="Arial" w:hAnsi="Arial" w:cs="Arial"/>
          <w:i/>
          <w:iCs/>
          <w:color w:val="010000"/>
          <w:sz w:val="20"/>
          <w:szCs w:val="20"/>
        </w:rPr>
        <w:t>Unit: Million VND</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36"/>
        <w:gridCol w:w="5190"/>
        <w:gridCol w:w="3291"/>
      </w:tblGrid>
      <w:tr w:rsidR="00DF6A70" w:rsidRPr="00EF326F" w14:paraId="7A897509" w14:textId="77777777" w:rsidTr="00931B4F">
        <w:tc>
          <w:tcPr>
            <w:tcW w:w="297" w:type="pct"/>
            <w:tcMar>
              <w:top w:w="0" w:type="dxa"/>
              <w:bottom w:w="0" w:type="dxa"/>
            </w:tcMar>
            <w:vAlign w:val="center"/>
          </w:tcPr>
          <w:p w14:paraId="1A100231" w14:textId="7431D295" w:rsidR="00DF6A70" w:rsidRPr="00931B4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931B4F">
              <w:rPr>
                <w:rFonts w:ascii="Arial" w:hAnsi="Arial" w:cs="Arial"/>
                <w:b/>
                <w:bCs/>
                <w:color w:val="010000"/>
                <w:sz w:val="20"/>
                <w:szCs w:val="20"/>
              </w:rPr>
              <w:t>No.</w:t>
            </w:r>
          </w:p>
        </w:tc>
        <w:tc>
          <w:tcPr>
            <w:tcW w:w="2878" w:type="pct"/>
            <w:tcMar>
              <w:top w:w="0" w:type="dxa"/>
              <w:bottom w:w="0" w:type="dxa"/>
            </w:tcMar>
            <w:vAlign w:val="center"/>
          </w:tcPr>
          <w:p w14:paraId="7330E1D2" w14:textId="77777777" w:rsidR="00DF6A70" w:rsidRPr="00931B4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931B4F">
              <w:rPr>
                <w:rFonts w:ascii="Arial" w:hAnsi="Arial" w:cs="Arial"/>
                <w:b/>
                <w:bCs/>
                <w:color w:val="010000"/>
                <w:sz w:val="20"/>
                <w:szCs w:val="20"/>
              </w:rPr>
              <w:t>Targets</w:t>
            </w:r>
          </w:p>
        </w:tc>
        <w:tc>
          <w:tcPr>
            <w:tcW w:w="1825" w:type="pct"/>
            <w:tcMar>
              <w:top w:w="0" w:type="dxa"/>
              <w:bottom w:w="0" w:type="dxa"/>
            </w:tcMar>
            <w:vAlign w:val="center"/>
          </w:tcPr>
          <w:p w14:paraId="35543531" w14:textId="77777777" w:rsidR="00DF6A70" w:rsidRPr="00931B4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931B4F">
              <w:rPr>
                <w:rFonts w:ascii="Arial" w:hAnsi="Arial" w:cs="Arial"/>
                <w:b/>
                <w:bCs/>
                <w:color w:val="010000"/>
                <w:sz w:val="20"/>
                <w:szCs w:val="20"/>
              </w:rPr>
              <w:t>Plan 2026</w:t>
            </w:r>
          </w:p>
        </w:tc>
      </w:tr>
      <w:tr w:rsidR="00DF6A70" w:rsidRPr="00EF326F" w14:paraId="2ED2A22E" w14:textId="77777777" w:rsidTr="00931B4F">
        <w:tc>
          <w:tcPr>
            <w:tcW w:w="297" w:type="pct"/>
            <w:tcMar>
              <w:top w:w="0" w:type="dxa"/>
              <w:bottom w:w="0" w:type="dxa"/>
            </w:tcMar>
            <w:vAlign w:val="center"/>
          </w:tcPr>
          <w:p w14:paraId="065BCB1E"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1</w:t>
            </w:r>
          </w:p>
        </w:tc>
        <w:tc>
          <w:tcPr>
            <w:tcW w:w="2878" w:type="pct"/>
            <w:tcMar>
              <w:top w:w="0" w:type="dxa"/>
              <w:bottom w:w="0" w:type="dxa"/>
            </w:tcMar>
            <w:vAlign w:val="center"/>
          </w:tcPr>
          <w:p w14:paraId="0A8BE04B"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Total revenue</w:t>
            </w:r>
          </w:p>
        </w:tc>
        <w:tc>
          <w:tcPr>
            <w:tcW w:w="1825" w:type="pct"/>
            <w:tcMar>
              <w:top w:w="0" w:type="dxa"/>
              <w:bottom w:w="0" w:type="dxa"/>
            </w:tcMar>
            <w:vAlign w:val="center"/>
          </w:tcPr>
          <w:p w14:paraId="33285F09"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224,963</w:t>
            </w:r>
          </w:p>
        </w:tc>
      </w:tr>
      <w:tr w:rsidR="00DF6A70" w:rsidRPr="00EF326F" w14:paraId="3000778E" w14:textId="77777777" w:rsidTr="00931B4F">
        <w:tc>
          <w:tcPr>
            <w:tcW w:w="297" w:type="pct"/>
            <w:tcMar>
              <w:top w:w="0" w:type="dxa"/>
              <w:bottom w:w="0" w:type="dxa"/>
            </w:tcMar>
            <w:vAlign w:val="center"/>
          </w:tcPr>
          <w:p w14:paraId="61A4843E"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w:t>
            </w:r>
          </w:p>
        </w:tc>
        <w:tc>
          <w:tcPr>
            <w:tcW w:w="2878" w:type="pct"/>
            <w:tcMar>
              <w:top w:w="0" w:type="dxa"/>
              <w:bottom w:w="0" w:type="dxa"/>
            </w:tcMar>
            <w:vAlign w:val="center"/>
          </w:tcPr>
          <w:p w14:paraId="7F722DF0"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Profit before tax</w:t>
            </w:r>
          </w:p>
        </w:tc>
        <w:tc>
          <w:tcPr>
            <w:tcW w:w="1825" w:type="pct"/>
            <w:tcMar>
              <w:top w:w="0" w:type="dxa"/>
              <w:bottom w:w="0" w:type="dxa"/>
            </w:tcMar>
            <w:vAlign w:val="center"/>
          </w:tcPr>
          <w:p w14:paraId="5A595436"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20,080</w:t>
            </w:r>
          </w:p>
        </w:tc>
      </w:tr>
      <w:tr w:rsidR="00DF6A70" w:rsidRPr="00EF326F" w14:paraId="1AADD48D" w14:textId="77777777" w:rsidTr="00931B4F">
        <w:tc>
          <w:tcPr>
            <w:tcW w:w="297" w:type="pct"/>
            <w:tcMar>
              <w:top w:w="0" w:type="dxa"/>
              <w:bottom w:w="0" w:type="dxa"/>
            </w:tcMar>
            <w:vAlign w:val="center"/>
          </w:tcPr>
          <w:p w14:paraId="1CF7578F"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3</w:t>
            </w:r>
          </w:p>
        </w:tc>
        <w:tc>
          <w:tcPr>
            <w:tcW w:w="2878" w:type="pct"/>
            <w:tcMar>
              <w:top w:w="0" w:type="dxa"/>
              <w:bottom w:w="0" w:type="dxa"/>
            </w:tcMar>
            <w:vAlign w:val="center"/>
          </w:tcPr>
          <w:p w14:paraId="57E6BBAD"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Dividend rate</w:t>
            </w:r>
          </w:p>
        </w:tc>
        <w:tc>
          <w:tcPr>
            <w:tcW w:w="1825" w:type="pct"/>
            <w:tcMar>
              <w:top w:w="0" w:type="dxa"/>
              <w:bottom w:w="0" w:type="dxa"/>
            </w:tcMar>
            <w:vAlign w:val="center"/>
          </w:tcPr>
          <w:p w14:paraId="49BAB490" w14:textId="77777777" w:rsidR="00DF6A70" w:rsidRPr="00EF326F" w:rsidRDefault="001209DA" w:rsidP="00931B4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15% of charter capital.</w:t>
            </w:r>
          </w:p>
        </w:tc>
      </w:tr>
    </w:tbl>
    <w:p w14:paraId="19BFEFB4"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 2. Approve the Report of the Supervisory Board in 2025</w:t>
      </w:r>
    </w:p>
    <w:p w14:paraId="735B94FE"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 3. Approve the Financial Statements 2025 audited by Southern Auditing &amp; Accounting Financial Consulting Services Company Limited (AASCS)</w:t>
      </w:r>
    </w:p>
    <w:p w14:paraId="1B6FD4DA"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The General Meeting approved the Financial Statements 2025 audited by Southern Auditing &amp; Accounting Financial Consulting Services Company Limited (AASCS).</w:t>
      </w:r>
    </w:p>
    <w:p w14:paraId="2C457D59" w14:textId="77777777" w:rsidR="001209DA" w:rsidRPr="00EF326F" w:rsidRDefault="001209DA" w:rsidP="00EF326F">
      <w:pPr>
        <w:pBdr>
          <w:top w:val="nil"/>
          <w:left w:val="nil"/>
          <w:bottom w:val="nil"/>
          <w:right w:val="nil"/>
          <w:between w:val="nil"/>
        </w:pBdr>
        <w:tabs>
          <w:tab w:val="left" w:pos="432"/>
        </w:tabs>
        <w:spacing w:after="120" w:line="360" w:lineRule="auto"/>
        <w:jc w:val="both"/>
        <w:rPr>
          <w:rFonts w:ascii="Arial" w:hAnsi="Arial" w:cs="Arial"/>
          <w:color w:val="010000"/>
          <w:sz w:val="20"/>
          <w:szCs w:val="20"/>
        </w:rPr>
      </w:pPr>
      <w:r w:rsidRPr="00EF326F">
        <w:rPr>
          <w:rFonts w:ascii="Arial" w:hAnsi="Arial" w:cs="Arial"/>
          <w:color w:val="010000"/>
          <w:sz w:val="20"/>
          <w:szCs w:val="20"/>
        </w:rPr>
        <w:t xml:space="preserve">Article 4. Approve the profit distribution in 2025; Remuneration of the Board of Directors and the Supervisory Board in 2026 </w:t>
      </w:r>
    </w:p>
    <w:p w14:paraId="00E6841F" w14:textId="77777777" w:rsidR="00DF6A70" w:rsidRDefault="001209DA" w:rsidP="00EF326F">
      <w:pPr>
        <w:pBdr>
          <w:top w:val="nil"/>
          <w:left w:val="nil"/>
          <w:bottom w:val="nil"/>
          <w:right w:val="nil"/>
          <w:between w:val="nil"/>
        </w:pBdr>
        <w:tabs>
          <w:tab w:val="left" w:pos="432"/>
        </w:tabs>
        <w:spacing w:after="120" w:line="360" w:lineRule="auto"/>
        <w:jc w:val="both"/>
        <w:rPr>
          <w:rFonts w:ascii="Arial" w:hAnsi="Arial" w:cs="Arial"/>
          <w:color w:val="010000"/>
          <w:sz w:val="20"/>
          <w:szCs w:val="20"/>
        </w:rPr>
      </w:pPr>
      <w:r w:rsidRPr="00EF326F">
        <w:rPr>
          <w:rFonts w:ascii="Arial" w:hAnsi="Arial" w:cs="Arial"/>
          <w:color w:val="010000"/>
          <w:sz w:val="20"/>
          <w:szCs w:val="20"/>
        </w:rPr>
        <w:t>The General Meeting unanimously approved the profit distribution in 2025 and remuneration of the Board of Directors and Supervisory Board in 2026 according to the Proposal No. 12-2026/</w:t>
      </w:r>
      <w:proofErr w:type="spellStart"/>
      <w:r w:rsidRPr="00EF326F">
        <w:rPr>
          <w:rFonts w:ascii="Arial" w:hAnsi="Arial" w:cs="Arial"/>
          <w:color w:val="010000"/>
          <w:sz w:val="20"/>
          <w:szCs w:val="20"/>
        </w:rPr>
        <w:t>TTr</w:t>
      </w:r>
      <w:proofErr w:type="spellEnd"/>
      <w:r w:rsidRPr="00EF326F">
        <w:rPr>
          <w:rFonts w:ascii="Arial" w:hAnsi="Arial" w:cs="Arial"/>
          <w:color w:val="010000"/>
          <w:sz w:val="20"/>
          <w:szCs w:val="20"/>
        </w:rPr>
        <w:t>-HDQT dated April 2, 2026 as follows:</w:t>
      </w:r>
    </w:p>
    <w:p w14:paraId="62AC615F" w14:textId="77777777" w:rsidR="00931B4F" w:rsidRDefault="00931B4F" w:rsidP="00EF326F">
      <w:pPr>
        <w:pBdr>
          <w:top w:val="nil"/>
          <w:left w:val="nil"/>
          <w:bottom w:val="nil"/>
          <w:right w:val="nil"/>
          <w:between w:val="nil"/>
        </w:pBdr>
        <w:tabs>
          <w:tab w:val="left" w:pos="432"/>
        </w:tabs>
        <w:spacing w:after="120" w:line="360" w:lineRule="auto"/>
        <w:jc w:val="both"/>
        <w:rPr>
          <w:rFonts w:ascii="Arial" w:hAnsi="Arial" w:cs="Arial"/>
          <w:color w:val="010000"/>
          <w:sz w:val="20"/>
          <w:szCs w:val="20"/>
        </w:rPr>
      </w:pPr>
    </w:p>
    <w:p w14:paraId="171BBEFF" w14:textId="77777777" w:rsidR="00931B4F" w:rsidRDefault="00931B4F" w:rsidP="00EF326F">
      <w:pPr>
        <w:pBdr>
          <w:top w:val="nil"/>
          <w:left w:val="nil"/>
          <w:bottom w:val="nil"/>
          <w:right w:val="nil"/>
          <w:between w:val="nil"/>
        </w:pBdr>
        <w:tabs>
          <w:tab w:val="left" w:pos="432"/>
        </w:tabs>
        <w:spacing w:after="120" w:line="360" w:lineRule="auto"/>
        <w:jc w:val="both"/>
        <w:rPr>
          <w:rFonts w:ascii="Arial" w:hAnsi="Arial" w:cs="Arial"/>
          <w:color w:val="010000"/>
          <w:sz w:val="20"/>
          <w:szCs w:val="20"/>
        </w:rPr>
      </w:pPr>
    </w:p>
    <w:p w14:paraId="6FAD5F6F" w14:textId="77777777" w:rsidR="00931B4F" w:rsidRPr="00EF326F" w:rsidRDefault="00931B4F"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p>
    <w:p w14:paraId="26674300"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lastRenderedPageBreak/>
        <w:t>1. On the profit distribution in 2025:</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04"/>
        <w:gridCol w:w="6231"/>
        <w:gridCol w:w="2182"/>
      </w:tblGrid>
      <w:tr w:rsidR="00DF6A70" w:rsidRPr="00EF326F" w14:paraId="7A36902E" w14:textId="77777777" w:rsidTr="00915397">
        <w:tc>
          <w:tcPr>
            <w:tcW w:w="335" w:type="pct"/>
            <w:tcMar>
              <w:top w:w="0" w:type="dxa"/>
              <w:bottom w:w="0" w:type="dxa"/>
            </w:tcMar>
            <w:vAlign w:val="center"/>
          </w:tcPr>
          <w:p w14:paraId="62821125" w14:textId="06409ED6" w:rsidR="00DF6A70" w:rsidRPr="00915397"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915397">
              <w:rPr>
                <w:rFonts w:ascii="Arial" w:hAnsi="Arial" w:cs="Arial"/>
                <w:b/>
                <w:bCs/>
                <w:color w:val="010000"/>
                <w:sz w:val="20"/>
                <w:szCs w:val="20"/>
              </w:rPr>
              <w:t>No.</w:t>
            </w:r>
          </w:p>
        </w:tc>
        <w:tc>
          <w:tcPr>
            <w:tcW w:w="3455" w:type="pct"/>
            <w:tcMar>
              <w:top w:w="0" w:type="dxa"/>
              <w:bottom w:w="0" w:type="dxa"/>
            </w:tcMar>
            <w:vAlign w:val="center"/>
          </w:tcPr>
          <w:p w14:paraId="32D89BFC" w14:textId="77777777" w:rsidR="00DF6A70" w:rsidRPr="00915397"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915397">
              <w:rPr>
                <w:rFonts w:ascii="Arial" w:hAnsi="Arial" w:cs="Arial"/>
                <w:b/>
                <w:bCs/>
                <w:color w:val="010000"/>
                <w:sz w:val="20"/>
                <w:szCs w:val="20"/>
              </w:rPr>
              <w:t>Profit distribution</w:t>
            </w:r>
          </w:p>
        </w:tc>
        <w:tc>
          <w:tcPr>
            <w:tcW w:w="1210" w:type="pct"/>
            <w:tcMar>
              <w:top w:w="0" w:type="dxa"/>
              <w:bottom w:w="0" w:type="dxa"/>
            </w:tcMar>
            <w:vAlign w:val="center"/>
          </w:tcPr>
          <w:p w14:paraId="3AE4E51E" w14:textId="77777777" w:rsidR="00DF6A70" w:rsidRPr="00915397"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b/>
                <w:bCs/>
                <w:color w:val="010000"/>
                <w:sz w:val="20"/>
                <w:szCs w:val="20"/>
              </w:rPr>
            </w:pPr>
            <w:r w:rsidRPr="00915397">
              <w:rPr>
                <w:rFonts w:ascii="Arial" w:hAnsi="Arial" w:cs="Arial"/>
                <w:b/>
                <w:bCs/>
                <w:color w:val="010000"/>
                <w:sz w:val="20"/>
                <w:szCs w:val="20"/>
              </w:rPr>
              <w:t>Amount</w:t>
            </w:r>
          </w:p>
        </w:tc>
      </w:tr>
      <w:tr w:rsidR="00DF6A70" w:rsidRPr="00EF326F" w14:paraId="606E26BB" w14:textId="77777777" w:rsidTr="00915397">
        <w:tc>
          <w:tcPr>
            <w:tcW w:w="335" w:type="pct"/>
            <w:tcMar>
              <w:top w:w="0" w:type="dxa"/>
              <w:bottom w:w="0" w:type="dxa"/>
            </w:tcMar>
            <w:vAlign w:val="center"/>
          </w:tcPr>
          <w:p w14:paraId="1A461E36"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1</w:t>
            </w:r>
          </w:p>
        </w:tc>
        <w:tc>
          <w:tcPr>
            <w:tcW w:w="3455" w:type="pct"/>
            <w:tcMar>
              <w:top w:w="0" w:type="dxa"/>
              <w:bottom w:w="0" w:type="dxa"/>
            </w:tcMar>
            <w:vAlign w:val="center"/>
          </w:tcPr>
          <w:p w14:paraId="0F01CDDE"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Profit before tax</w:t>
            </w:r>
          </w:p>
        </w:tc>
        <w:tc>
          <w:tcPr>
            <w:tcW w:w="1210" w:type="pct"/>
            <w:tcMar>
              <w:top w:w="0" w:type="dxa"/>
              <w:bottom w:w="0" w:type="dxa"/>
            </w:tcMar>
            <w:vAlign w:val="center"/>
          </w:tcPr>
          <w:p w14:paraId="534385BB"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VND30,969,890,997</w:t>
            </w:r>
          </w:p>
        </w:tc>
      </w:tr>
      <w:tr w:rsidR="00DF6A70" w:rsidRPr="00EF326F" w14:paraId="437BEED9" w14:textId="77777777" w:rsidTr="00915397">
        <w:tc>
          <w:tcPr>
            <w:tcW w:w="335" w:type="pct"/>
            <w:tcMar>
              <w:top w:w="0" w:type="dxa"/>
              <w:bottom w:w="0" w:type="dxa"/>
            </w:tcMar>
            <w:vAlign w:val="center"/>
          </w:tcPr>
          <w:p w14:paraId="7CD0BEEE"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2</w:t>
            </w:r>
          </w:p>
        </w:tc>
        <w:tc>
          <w:tcPr>
            <w:tcW w:w="3455" w:type="pct"/>
            <w:tcMar>
              <w:top w:w="0" w:type="dxa"/>
              <w:bottom w:w="0" w:type="dxa"/>
            </w:tcMar>
            <w:vAlign w:val="center"/>
          </w:tcPr>
          <w:p w14:paraId="6F3998FC"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Corporate income tax</w:t>
            </w:r>
          </w:p>
        </w:tc>
        <w:tc>
          <w:tcPr>
            <w:tcW w:w="1210" w:type="pct"/>
            <w:tcMar>
              <w:top w:w="0" w:type="dxa"/>
              <w:bottom w:w="0" w:type="dxa"/>
            </w:tcMar>
            <w:vAlign w:val="center"/>
          </w:tcPr>
          <w:p w14:paraId="0FAEE460"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VND6,088,740,845</w:t>
            </w:r>
          </w:p>
        </w:tc>
      </w:tr>
      <w:tr w:rsidR="00DF6A70" w:rsidRPr="00EF326F" w14:paraId="09BB5251" w14:textId="77777777" w:rsidTr="00915397">
        <w:tc>
          <w:tcPr>
            <w:tcW w:w="335" w:type="pct"/>
            <w:tcMar>
              <w:top w:w="0" w:type="dxa"/>
              <w:bottom w:w="0" w:type="dxa"/>
            </w:tcMar>
            <w:vAlign w:val="center"/>
          </w:tcPr>
          <w:p w14:paraId="0486C89D"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3</w:t>
            </w:r>
          </w:p>
        </w:tc>
        <w:tc>
          <w:tcPr>
            <w:tcW w:w="3455" w:type="pct"/>
            <w:tcMar>
              <w:top w:w="0" w:type="dxa"/>
              <w:bottom w:w="0" w:type="dxa"/>
            </w:tcMar>
            <w:vAlign w:val="center"/>
          </w:tcPr>
          <w:p w14:paraId="41CAD0FA"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Profit after tax</w:t>
            </w:r>
          </w:p>
        </w:tc>
        <w:tc>
          <w:tcPr>
            <w:tcW w:w="1210" w:type="pct"/>
            <w:tcMar>
              <w:top w:w="0" w:type="dxa"/>
              <w:bottom w:w="0" w:type="dxa"/>
            </w:tcMar>
            <w:vAlign w:val="center"/>
          </w:tcPr>
          <w:p w14:paraId="1CBFEB87"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VND24,881,150,152</w:t>
            </w:r>
          </w:p>
        </w:tc>
      </w:tr>
      <w:tr w:rsidR="00DF6A70" w:rsidRPr="00EF326F" w14:paraId="01C7D2C5" w14:textId="77777777" w:rsidTr="00915397">
        <w:tc>
          <w:tcPr>
            <w:tcW w:w="335" w:type="pct"/>
            <w:tcMar>
              <w:top w:w="0" w:type="dxa"/>
              <w:bottom w:w="0" w:type="dxa"/>
            </w:tcMar>
            <w:vAlign w:val="center"/>
          </w:tcPr>
          <w:p w14:paraId="7251B0B5"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4</w:t>
            </w:r>
          </w:p>
        </w:tc>
        <w:tc>
          <w:tcPr>
            <w:tcW w:w="3455" w:type="pct"/>
            <w:tcMar>
              <w:top w:w="0" w:type="dxa"/>
              <w:bottom w:w="0" w:type="dxa"/>
            </w:tcMar>
            <w:vAlign w:val="center"/>
          </w:tcPr>
          <w:p w14:paraId="42F5144D"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Dividend payment in 2025 (20% of charter capital)</w:t>
            </w:r>
          </w:p>
        </w:tc>
        <w:tc>
          <w:tcPr>
            <w:tcW w:w="1210" w:type="pct"/>
            <w:tcMar>
              <w:top w:w="0" w:type="dxa"/>
              <w:bottom w:w="0" w:type="dxa"/>
            </w:tcMar>
            <w:vAlign w:val="center"/>
          </w:tcPr>
          <w:p w14:paraId="4F18B440"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VND18,000,000,000</w:t>
            </w:r>
          </w:p>
        </w:tc>
      </w:tr>
      <w:tr w:rsidR="00DF6A70" w:rsidRPr="00EF326F" w14:paraId="078DEB56" w14:textId="77777777" w:rsidTr="00915397">
        <w:tc>
          <w:tcPr>
            <w:tcW w:w="335" w:type="pct"/>
            <w:tcMar>
              <w:top w:w="0" w:type="dxa"/>
              <w:bottom w:w="0" w:type="dxa"/>
            </w:tcMar>
            <w:vAlign w:val="center"/>
          </w:tcPr>
          <w:p w14:paraId="69ED8909"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5</w:t>
            </w:r>
          </w:p>
        </w:tc>
        <w:tc>
          <w:tcPr>
            <w:tcW w:w="3455" w:type="pct"/>
            <w:tcMar>
              <w:top w:w="0" w:type="dxa"/>
              <w:bottom w:w="0" w:type="dxa"/>
            </w:tcMar>
            <w:vAlign w:val="center"/>
          </w:tcPr>
          <w:p w14:paraId="58AF0453"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Appropriation for investment and development fund: 16.66% of Profit after tax</w:t>
            </w:r>
          </w:p>
        </w:tc>
        <w:tc>
          <w:tcPr>
            <w:tcW w:w="1210" w:type="pct"/>
            <w:tcMar>
              <w:top w:w="0" w:type="dxa"/>
              <w:bottom w:w="0" w:type="dxa"/>
            </w:tcMar>
            <w:vAlign w:val="center"/>
          </w:tcPr>
          <w:p w14:paraId="4D45BDC4"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VND4,144,235,152</w:t>
            </w:r>
          </w:p>
        </w:tc>
      </w:tr>
      <w:tr w:rsidR="00DF6A70" w:rsidRPr="00EF326F" w14:paraId="65E4986F" w14:textId="77777777" w:rsidTr="00915397">
        <w:tc>
          <w:tcPr>
            <w:tcW w:w="335" w:type="pct"/>
            <w:tcMar>
              <w:top w:w="0" w:type="dxa"/>
              <w:bottom w:w="0" w:type="dxa"/>
            </w:tcMar>
            <w:vAlign w:val="center"/>
          </w:tcPr>
          <w:p w14:paraId="6A8A01A1"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6</w:t>
            </w:r>
          </w:p>
        </w:tc>
        <w:tc>
          <w:tcPr>
            <w:tcW w:w="3455" w:type="pct"/>
            <w:tcMar>
              <w:top w:w="0" w:type="dxa"/>
              <w:bottom w:w="0" w:type="dxa"/>
            </w:tcMar>
            <w:vAlign w:val="center"/>
          </w:tcPr>
          <w:p w14:paraId="4B6D70F4"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Appropriation for bonus and welfare fund 10% of profit after tax</w:t>
            </w:r>
          </w:p>
        </w:tc>
        <w:tc>
          <w:tcPr>
            <w:tcW w:w="1210" w:type="pct"/>
            <w:tcMar>
              <w:top w:w="0" w:type="dxa"/>
              <w:bottom w:w="0" w:type="dxa"/>
            </w:tcMar>
            <w:vAlign w:val="center"/>
          </w:tcPr>
          <w:p w14:paraId="409316F5"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VND2,488,115,000</w:t>
            </w:r>
          </w:p>
        </w:tc>
      </w:tr>
      <w:tr w:rsidR="00DF6A70" w:rsidRPr="00EF326F" w14:paraId="1CD18447" w14:textId="77777777" w:rsidTr="00915397">
        <w:tc>
          <w:tcPr>
            <w:tcW w:w="335" w:type="pct"/>
            <w:tcMar>
              <w:top w:w="0" w:type="dxa"/>
              <w:bottom w:w="0" w:type="dxa"/>
            </w:tcMar>
            <w:vAlign w:val="center"/>
          </w:tcPr>
          <w:p w14:paraId="0DB8B597"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7</w:t>
            </w:r>
          </w:p>
        </w:tc>
        <w:tc>
          <w:tcPr>
            <w:tcW w:w="3455" w:type="pct"/>
            <w:tcMar>
              <w:top w:w="0" w:type="dxa"/>
              <w:bottom w:w="0" w:type="dxa"/>
            </w:tcMar>
            <w:vAlign w:val="center"/>
          </w:tcPr>
          <w:p w14:paraId="021B1E7A"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Appropriation for bonus for Board of Directors and Supervisory Board 1% of Profit after tax - exceeding plan)</w:t>
            </w:r>
          </w:p>
        </w:tc>
        <w:tc>
          <w:tcPr>
            <w:tcW w:w="1210" w:type="pct"/>
            <w:tcMar>
              <w:top w:w="0" w:type="dxa"/>
              <w:bottom w:w="0" w:type="dxa"/>
            </w:tcMar>
            <w:vAlign w:val="center"/>
          </w:tcPr>
          <w:p w14:paraId="656CDFC5"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VND248,800,000</w:t>
            </w:r>
          </w:p>
        </w:tc>
      </w:tr>
      <w:tr w:rsidR="00DF6A70" w:rsidRPr="00EF326F" w14:paraId="4F5DEEA4" w14:textId="77777777" w:rsidTr="00915397">
        <w:tc>
          <w:tcPr>
            <w:tcW w:w="335" w:type="pct"/>
            <w:tcMar>
              <w:top w:w="0" w:type="dxa"/>
              <w:bottom w:w="0" w:type="dxa"/>
            </w:tcMar>
            <w:vAlign w:val="center"/>
          </w:tcPr>
          <w:p w14:paraId="2CCC5E01" w14:textId="77777777" w:rsidR="00DF6A70" w:rsidRPr="00EF326F" w:rsidRDefault="001209DA" w:rsidP="00915397">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EF326F">
              <w:rPr>
                <w:rFonts w:ascii="Arial" w:hAnsi="Arial" w:cs="Arial"/>
                <w:color w:val="010000"/>
                <w:sz w:val="20"/>
                <w:szCs w:val="20"/>
              </w:rPr>
              <w:t>8</w:t>
            </w:r>
          </w:p>
        </w:tc>
        <w:tc>
          <w:tcPr>
            <w:tcW w:w="3455" w:type="pct"/>
            <w:tcMar>
              <w:top w:w="0" w:type="dxa"/>
              <w:bottom w:w="0" w:type="dxa"/>
            </w:tcMar>
            <w:vAlign w:val="center"/>
          </w:tcPr>
          <w:p w14:paraId="373F0768"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Profit transferred to the next year</w:t>
            </w:r>
          </w:p>
        </w:tc>
        <w:tc>
          <w:tcPr>
            <w:tcW w:w="1210" w:type="pct"/>
            <w:tcMar>
              <w:top w:w="0" w:type="dxa"/>
              <w:bottom w:w="0" w:type="dxa"/>
            </w:tcMar>
            <w:vAlign w:val="center"/>
          </w:tcPr>
          <w:p w14:paraId="080BFFB8" w14:textId="77777777" w:rsidR="00DF6A70" w:rsidRPr="00EF326F" w:rsidRDefault="001209DA" w:rsidP="00915397">
            <w:pPr>
              <w:pBdr>
                <w:top w:val="nil"/>
                <w:left w:val="nil"/>
                <w:bottom w:val="nil"/>
                <w:right w:val="nil"/>
                <w:between w:val="nil"/>
              </w:pBdr>
              <w:tabs>
                <w:tab w:val="left" w:pos="432"/>
              </w:tabs>
              <w:spacing w:after="120" w:line="360" w:lineRule="auto"/>
              <w:jc w:val="right"/>
              <w:rPr>
                <w:rFonts w:ascii="Arial" w:eastAsia="Arial" w:hAnsi="Arial" w:cs="Arial"/>
                <w:color w:val="010000"/>
                <w:sz w:val="20"/>
                <w:szCs w:val="20"/>
              </w:rPr>
            </w:pPr>
            <w:r w:rsidRPr="00EF326F">
              <w:rPr>
                <w:rFonts w:ascii="Arial" w:hAnsi="Arial" w:cs="Arial"/>
                <w:color w:val="010000"/>
                <w:sz w:val="20"/>
                <w:szCs w:val="20"/>
              </w:rPr>
              <w:t>VND0</w:t>
            </w:r>
          </w:p>
        </w:tc>
      </w:tr>
    </w:tbl>
    <w:p w14:paraId="6198D747"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2. Remuneration for the Board of Directors and the Supervisory Board in 2026:</w:t>
      </w:r>
    </w:p>
    <w:p w14:paraId="3F87A67E" w14:textId="77777777" w:rsidR="00DF6A70" w:rsidRPr="00EF326F" w:rsidRDefault="001209DA" w:rsidP="00EF326F">
      <w:pPr>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F326F">
        <w:rPr>
          <w:rFonts w:ascii="Arial" w:hAnsi="Arial" w:cs="Arial"/>
          <w:color w:val="010000"/>
          <w:sz w:val="20"/>
          <w:szCs w:val="20"/>
        </w:rPr>
        <w:t>Remuneration rate for the Board of Directors:</w:t>
      </w:r>
    </w:p>
    <w:p w14:paraId="520B1899"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Chair of the Board of Directors: VND10,000,000/month</w:t>
      </w:r>
    </w:p>
    <w:p w14:paraId="0EBB83D8"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Each member of the Board of Directors: VND8,000,000/month</w:t>
      </w:r>
    </w:p>
    <w:p w14:paraId="4ABDBC47"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The Secretariat of the Board of Directors: VND5,000,000/month</w:t>
      </w:r>
    </w:p>
    <w:p w14:paraId="6BECBC38"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2% of Profit after tax in 2026.</w:t>
      </w:r>
    </w:p>
    <w:p w14:paraId="73FD94AB" w14:textId="77777777" w:rsidR="00DF6A70" w:rsidRPr="00EF326F" w:rsidRDefault="001209DA" w:rsidP="00EF326F">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EF326F">
        <w:rPr>
          <w:rFonts w:ascii="Arial" w:hAnsi="Arial" w:cs="Arial"/>
          <w:color w:val="010000"/>
          <w:sz w:val="20"/>
          <w:szCs w:val="20"/>
        </w:rPr>
        <w:t>Remuneration rate for the Supervisory Board:</w:t>
      </w:r>
    </w:p>
    <w:p w14:paraId="623D6CB7"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Chief of the Supervisory Board: VND8,000,000/month</w:t>
      </w:r>
    </w:p>
    <w:p w14:paraId="6980876A"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Each member of the Supervisory Board: VND6,000,000/month</w:t>
      </w:r>
    </w:p>
    <w:p w14:paraId="02D7CCAC" w14:textId="77777777" w:rsidR="00DF6A70" w:rsidRPr="00EF326F" w:rsidRDefault="001209DA" w:rsidP="00EF326F">
      <w:pPr>
        <w:numPr>
          <w:ilvl w:val="0"/>
          <w:numId w:val="4"/>
        </w:numPr>
        <w:pBdr>
          <w:top w:val="nil"/>
          <w:left w:val="nil"/>
          <w:bottom w:val="nil"/>
          <w:right w:val="nil"/>
          <w:between w:val="nil"/>
        </w:pBdr>
        <w:tabs>
          <w:tab w:val="left" w:pos="432"/>
          <w:tab w:val="left" w:pos="1805"/>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1% of Profit after tax in 2026.</w:t>
      </w:r>
    </w:p>
    <w:p w14:paraId="2BD389D3"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 5. Approve the selection of an audit company for the Company’s Financial Statements 2026</w:t>
      </w:r>
    </w:p>
    <w:p w14:paraId="6D5B24FD"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The General Meeting unanimously approved on selecting the list of Audit Companies and authorized the Board of Directors to select one of the following audit companies to audit the Financial Statements 2026:</w:t>
      </w:r>
    </w:p>
    <w:p w14:paraId="5CA6FDBD" w14:textId="77777777" w:rsidR="00DF6A70" w:rsidRPr="00EF326F" w:rsidRDefault="001209DA" w:rsidP="00EF326F">
      <w:pPr>
        <w:numPr>
          <w:ilvl w:val="0"/>
          <w:numId w:val="5"/>
        </w:numPr>
        <w:pBdr>
          <w:top w:val="nil"/>
          <w:left w:val="nil"/>
          <w:bottom w:val="nil"/>
          <w:right w:val="nil"/>
          <w:between w:val="nil"/>
        </w:pBdr>
        <w:tabs>
          <w:tab w:val="left" w:pos="432"/>
          <w:tab w:val="left" w:pos="854"/>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Southern Auditing &amp; Accounting Financial Consulting Services Company Limited</w:t>
      </w:r>
    </w:p>
    <w:p w14:paraId="0D611102" w14:textId="77777777" w:rsidR="00DF6A70" w:rsidRPr="00EF326F" w:rsidRDefault="001209DA" w:rsidP="00EF326F">
      <w:pPr>
        <w:numPr>
          <w:ilvl w:val="0"/>
          <w:numId w:val="5"/>
        </w:numPr>
        <w:pBdr>
          <w:top w:val="nil"/>
          <w:left w:val="nil"/>
          <w:bottom w:val="nil"/>
          <w:right w:val="nil"/>
          <w:between w:val="nil"/>
        </w:pBdr>
        <w:tabs>
          <w:tab w:val="left" w:pos="432"/>
          <w:tab w:val="left" w:pos="888"/>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 xml:space="preserve">Viet Australia Auditing Company Limited - Ho Chi Minh City </w:t>
      </w:r>
    </w:p>
    <w:p w14:paraId="5FD628EE" w14:textId="77777777" w:rsidR="00DF6A70" w:rsidRPr="00EF326F" w:rsidRDefault="001209DA" w:rsidP="00EF326F">
      <w:pPr>
        <w:numPr>
          <w:ilvl w:val="0"/>
          <w:numId w:val="5"/>
        </w:numPr>
        <w:pBdr>
          <w:top w:val="nil"/>
          <w:left w:val="nil"/>
          <w:bottom w:val="nil"/>
          <w:right w:val="nil"/>
          <w:between w:val="nil"/>
        </w:pBdr>
        <w:tabs>
          <w:tab w:val="left" w:pos="432"/>
          <w:tab w:val="left" w:pos="888"/>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CPA Vietnam Auditing Company Limited - Ho Chi Minh City Branch</w:t>
      </w:r>
    </w:p>
    <w:p w14:paraId="35ED1CEF"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 6. Approve the handling of the relocation of Dong Nai Brick and Tile Plant No. 2.</w:t>
      </w:r>
    </w:p>
    <w:p w14:paraId="647BDAEF"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 xml:space="preserve">The General Meeting unanimously agreed with the results of the relocation of Dong Nai Brick and Tile </w:t>
      </w:r>
      <w:r w:rsidRPr="00EF326F">
        <w:rPr>
          <w:rFonts w:ascii="Arial" w:hAnsi="Arial" w:cs="Arial"/>
          <w:color w:val="010000"/>
          <w:sz w:val="20"/>
          <w:szCs w:val="20"/>
        </w:rPr>
        <w:lastRenderedPageBreak/>
        <w:t>Plant No. 2 as reported by the Board of Directors, and approved the Company’s Executive Board to initiate legal proceedings to claim compensation and relocation support in accordance with the law.</w:t>
      </w:r>
    </w:p>
    <w:p w14:paraId="7E8AE20E"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 7. This General Mandate takes effect from April 28, 2026</w:t>
      </w:r>
    </w:p>
    <w:p w14:paraId="310F2E1F" w14:textId="77777777" w:rsidR="00DF6A70" w:rsidRPr="00EF326F" w:rsidRDefault="001209DA" w:rsidP="00EF326F">
      <w:pPr>
        <w:pBdr>
          <w:top w:val="nil"/>
          <w:left w:val="nil"/>
          <w:bottom w:val="nil"/>
          <w:right w:val="nil"/>
          <w:between w:val="nil"/>
        </w:pBdr>
        <w:tabs>
          <w:tab w:val="left" w:pos="432"/>
          <w:tab w:val="left" w:pos="936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 xml:space="preserve">The Board of Directors is responsible for sending copies of this General Mandate to all shareholders and disclosing it on the Company's website (www.tuildonai.com.vn); Reporting to state management agencies in accordance with the provisions of the Law. </w:t>
      </w:r>
    </w:p>
    <w:p w14:paraId="2E6918A1"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Article 8. Responsibility for disseminating, thoroughly understanding and implementing the General Mandate</w:t>
      </w:r>
    </w:p>
    <w:p w14:paraId="10E2A944" w14:textId="77777777" w:rsidR="00DF6A70" w:rsidRPr="00EF326F" w:rsidRDefault="001209DA" w:rsidP="00EF326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EF326F">
        <w:rPr>
          <w:rFonts w:ascii="Arial" w:hAnsi="Arial" w:cs="Arial"/>
          <w:color w:val="010000"/>
          <w:sz w:val="20"/>
          <w:szCs w:val="20"/>
        </w:rPr>
        <w:t xml:space="preserve">The Meeting approved on assigning the Board of Directors, the Supervisory Board and the Executive Board to disseminate and implement, as well as inspect and supervise the implementation of this General Mandate. </w:t>
      </w:r>
    </w:p>
    <w:sectPr w:rsidR="00DF6A70" w:rsidRPr="00EF326F" w:rsidSect="001209DA">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921B2C5-81CB-4AD2-9AD4-43094351C888}"/>
  </w:font>
  <w:font w:name="Calibri">
    <w:panose1 w:val="020F0502020204030204"/>
    <w:charset w:val="00"/>
    <w:family w:val="swiss"/>
    <w:pitch w:val="variable"/>
    <w:sig w:usb0="E4002EFF" w:usb1="C200247B" w:usb2="00000009" w:usb3="00000000" w:csb0="000001FF" w:csb1="00000000"/>
    <w:embedRegular r:id="rId2" w:fontKey="{B8781E3F-603E-43C3-8804-14C17E3CBAEF}"/>
  </w:font>
  <w:font w:name="Cambria">
    <w:panose1 w:val="02040503050406030204"/>
    <w:charset w:val="00"/>
    <w:family w:val="roman"/>
    <w:pitch w:val="variable"/>
    <w:sig w:usb0="E00006FF" w:usb1="420024FF" w:usb2="02000000" w:usb3="00000000" w:csb0="0000019F" w:csb1="00000000"/>
    <w:embedRegular r:id="rId3" w:fontKey="{CFB9097D-F01E-4AE9-8DC9-A1BA66D19F2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13169"/>
    <w:multiLevelType w:val="multilevel"/>
    <w:tmpl w:val="6DF0EED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AD50EA3"/>
    <w:multiLevelType w:val="multilevel"/>
    <w:tmpl w:val="570A9290"/>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F5240FD"/>
    <w:multiLevelType w:val="multilevel"/>
    <w:tmpl w:val="D8A8620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5B9F256F"/>
    <w:multiLevelType w:val="multilevel"/>
    <w:tmpl w:val="8DE0743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8E10C8"/>
    <w:multiLevelType w:val="multilevel"/>
    <w:tmpl w:val="DFB268D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2318947">
    <w:abstractNumId w:val="4"/>
  </w:num>
  <w:num w:numId="2" w16cid:durableId="1206331210">
    <w:abstractNumId w:val="3"/>
  </w:num>
  <w:num w:numId="3" w16cid:durableId="552431406">
    <w:abstractNumId w:val="2"/>
  </w:num>
  <w:num w:numId="4" w16cid:durableId="1683163689">
    <w:abstractNumId w:val="1"/>
  </w:num>
  <w:num w:numId="5" w16cid:durableId="335571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A70"/>
    <w:rsid w:val="001209DA"/>
    <w:rsid w:val="004C7EC8"/>
    <w:rsid w:val="00570FFD"/>
    <w:rsid w:val="00915397"/>
    <w:rsid w:val="00931B4F"/>
    <w:rsid w:val="00DF6A70"/>
    <w:rsid w:val="00EF3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1E5A0"/>
  <w15:docId w15:val="{F4017D72-2F8E-44E6-A353-95CE70EE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de09iA5rMin2cgOXOKu6LChggQ==">CgMxLjA4AHIhMU9wVGNIMEVaRWJrUUl5NmZvZlpfQnJURkF3SlJnMWJH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629</Words>
  <Characters>3589</Characters>
  <Application>Microsoft Office Word</Application>
  <DocSecurity>0</DocSecurity>
  <Lines>29</Lines>
  <Paragraphs>8</Paragraphs>
  <ScaleCrop>false</ScaleCrop>
  <Company>Microsoft</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7</cp:revision>
  <dcterms:created xsi:type="dcterms:W3CDTF">2026-05-14T01:19:00Z</dcterms:created>
  <dcterms:modified xsi:type="dcterms:W3CDTF">2026-05-14T02:54:00Z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688579ba-ec0f-4be2-a9ab-3494b2631a87</vt:lpwstr>
  </property>
</Properties>
</file>