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FC613" w14:textId="19D11684" w:rsidR="008D218E" w:rsidRDefault="00FD5FE0" w:rsidP="00170FBD">
      <w:pPr>
        <w:pBdr>
          <w:top w:val="nil"/>
          <w:left w:val="nil"/>
          <w:bottom w:val="nil"/>
          <w:right w:val="nil"/>
          <w:between w:val="nil"/>
        </w:pBdr>
        <w:tabs>
          <w:tab w:val="left" w:pos="4139"/>
        </w:tabs>
        <w:spacing w:after="120" w:line="360" w:lineRule="auto"/>
        <w:jc w:val="both"/>
        <w:rPr>
          <w:rFonts w:ascii="Arial" w:eastAsia="Arial" w:hAnsi="Arial" w:cs="Arial"/>
          <w:b/>
          <w:bCs/>
          <w:color w:val="000000"/>
          <w:sz w:val="20"/>
          <w:szCs w:val="20"/>
        </w:rPr>
      </w:pPr>
      <w:r>
        <w:rPr>
          <w:rFonts w:ascii="Arial" w:hAnsi="Arial"/>
          <w:b/>
          <w:color w:val="000000"/>
          <w:sz w:val="20"/>
        </w:rPr>
        <w:t>LMC: Annual General Mandate 2026</w:t>
      </w:r>
    </w:p>
    <w:p w14:paraId="217E876B" w14:textId="09C13D08" w:rsidR="008D218E" w:rsidRDefault="00FD5FE0" w:rsidP="00170FBD">
      <w:pPr>
        <w:pBdr>
          <w:top w:val="nil"/>
          <w:left w:val="nil"/>
          <w:bottom w:val="nil"/>
          <w:right w:val="nil"/>
          <w:between w:val="nil"/>
        </w:pBdr>
        <w:tabs>
          <w:tab w:val="left" w:pos="4139"/>
        </w:tabs>
        <w:spacing w:after="120" w:line="360" w:lineRule="auto"/>
        <w:jc w:val="both"/>
        <w:rPr>
          <w:rFonts w:ascii="Arial" w:eastAsia="Arial" w:hAnsi="Arial" w:cs="Arial"/>
          <w:color w:val="000000"/>
          <w:sz w:val="20"/>
          <w:szCs w:val="20"/>
        </w:rPr>
      </w:pPr>
      <w:r>
        <w:rPr>
          <w:rFonts w:ascii="Arial" w:hAnsi="Arial"/>
          <w:sz w:val="20"/>
        </w:rPr>
        <w:t>On May 29, 2026, Long Beach LMC Joint Stock Company announced General Mandate No. 01/2026/LMC/NQ-DHDCD</w:t>
      </w:r>
      <w:r w:rsidR="00DE1200">
        <w:rPr>
          <w:rFonts w:ascii="Arial" w:hAnsi="Arial"/>
          <w:sz w:val="20"/>
        </w:rPr>
        <w:t>TN</w:t>
      </w:r>
      <w:r>
        <w:rPr>
          <w:rFonts w:ascii="Arial" w:hAnsi="Arial"/>
          <w:sz w:val="20"/>
        </w:rPr>
        <w:t xml:space="preserve"> as follows:</w:t>
      </w:r>
    </w:p>
    <w:p w14:paraId="0E1DD66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Article 1: Approve the Report of the Board of Directors on operational activities in 2025 and the operational plan for 2026.</w:t>
      </w:r>
    </w:p>
    <w:p w14:paraId="7512EAC6" w14:textId="01BA4153"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2: </w:t>
      </w:r>
      <w:r>
        <w:rPr>
          <w:rFonts w:ascii="Arial" w:hAnsi="Arial"/>
          <w:sz w:val="20"/>
        </w:rPr>
        <w:t>Approve the Report of the Supervisory Board on operational activities in 2025, the operational plan for 2026, and the performance evaluation report of each Supervisory Board member.</w:t>
      </w:r>
    </w:p>
    <w:p w14:paraId="71C5A117" w14:textId="326F7585"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3: Approve the Report of the </w:t>
      </w:r>
      <w:r w:rsidR="00170FBD">
        <w:rPr>
          <w:rFonts w:ascii="Arial" w:hAnsi="Arial"/>
          <w:color w:val="000000"/>
          <w:sz w:val="20"/>
        </w:rPr>
        <w:t>Executive Board</w:t>
      </w:r>
      <w:r>
        <w:rPr>
          <w:rFonts w:ascii="Arial" w:hAnsi="Arial"/>
          <w:color w:val="000000"/>
          <w:sz w:val="20"/>
        </w:rPr>
        <w:t xml:space="preserve"> on the Company's business results in 2025 and the operational plan for 2026.</w:t>
      </w:r>
    </w:p>
    <w:p w14:paraId="45C1F69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4: </w:t>
      </w:r>
      <w:r>
        <w:rPr>
          <w:rFonts w:ascii="Arial" w:hAnsi="Arial"/>
          <w:sz w:val="20"/>
        </w:rPr>
        <w:t>Approve Proposal No. 04/2026/LMC/TTR of the Board of Directors on the business plan 2026 with the following key targets:</w:t>
      </w:r>
    </w:p>
    <w:tbl>
      <w:tblPr>
        <w:tblStyle w:val="a"/>
        <w:tblW w:w="90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
        <w:gridCol w:w="2956"/>
        <w:gridCol w:w="1533"/>
        <w:gridCol w:w="1958"/>
        <w:gridCol w:w="1847"/>
      </w:tblGrid>
      <w:tr w:rsidR="008D218E" w14:paraId="71B77A22" w14:textId="77777777">
        <w:tc>
          <w:tcPr>
            <w:tcW w:w="723" w:type="dxa"/>
            <w:tcMar>
              <w:top w:w="0" w:type="dxa"/>
              <w:bottom w:w="0" w:type="dxa"/>
            </w:tcMar>
            <w:vAlign w:val="center"/>
          </w:tcPr>
          <w:p w14:paraId="3D1E468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No.</w:t>
            </w:r>
          </w:p>
        </w:tc>
        <w:tc>
          <w:tcPr>
            <w:tcW w:w="2956" w:type="dxa"/>
            <w:tcMar>
              <w:top w:w="0" w:type="dxa"/>
              <w:bottom w:w="0" w:type="dxa"/>
            </w:tcMar>
            <w:vAlign w:val="center"/>
          </w:tcPr>
          <w:p w14:paraId="4D84F8BE"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Targets</w:t>
            </w:r>
          </w:p>
        </w:tc>
        <w:tc>
          <w:tcPr>
            <w:tcW w:w="1533" w:type="dxa"/>
            <w:tcMar>
              <w:top w:w="0" w:type="dxa"/>
              <w:bottom w:w="0" w:type="dxa"/>
            </w:tcMar>
            <w:vAlign w:val="center"/>
          </w:tcPr>
          <w:p w14:paraId="01477E5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Unit</w:t>
            </w:r>
          </w:p>
        </w:tc>
        <w:tc>
          <w:tcPr>
            <w:tcW w:w="1958" w:type="dxa"/>
            <w:tcMar>
              <w:top w:w="0" w:type="dxa"/>
              <w:bottom w:w="0" w:type="dxa"/>
            </w:tcMar>
            <w:vAlign w:val="center"/>
          </w:tcPr>
          <w:p w14:paraId="2EC6D05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Results 2025</w:t>
            </w:r>
          </w:p>
        </w:tc>
        <w:tc>
          <w:tcPr>
            <w:tcW w:w="1847" w:type="dxa"/>
            <w:tcMar>
              <w:top w:w="0" w:type="dxa"/>
              <w:bottom w:w="0" w:type="dxa"/>
            </w:tcMar>
            <w:vAlign w:val="center"/>
          </w:tcPr>
          <w:p w14:paraId="1C3328F8"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Plan 2026</w:t>
            </w:r>
          </w:p>
        </w:tc>
      </w:tr>
      <w:tr w:rsidR="008D218E" w14:paraId="69CDE0F4" w14:textId="77777777">
        <w:tc>
          <w:tcPr>
            <w:tcW w:w="723" w:type="dxa"/>
            <w:tcMar>
              <w:top w:w="0" w:type="dxa"/>
              <w:bottom w:w="0" w:type="dxa"/>
            </w:tcMar>
            <w:vAlign w:val="center"/>
          </w:tcPr>
          <w:p w14:paraId="26D57036"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w:t>
            </w:r>
          </w:p>
        </w:tc>
        <w:tc>
          <w:tcPr>
            <w:tcW w:w="2956" w:type="dxa"/>
            <w:tcMar>
              <w:top w:w="0" w:type="dxa"/>
              <w:bottom w:w="0" w:type="dxa"/>
            </w:tcMar>
            <w:vAlign w:val="center"/>
          </w:tcPr>
          <w:p w14:paraId="653EA19B"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Consolidated net revenue</w:t>
            </w:r>
          </w:p>
        </w:tc>
        <w:tc>
          <w:tcPr>
            <w:tcW w:w="1533" w:type="dxa"/>
            <w:tcMar>
              <w:top w:w="0" w:type="dxa"/>
              <w:bottom w:w="0" w:type="dxa"/>
            </w:tcMar>
            <w:vAlign w:val="center"/>
          </w:tcPr>
          <w:p w14:paraId="2ECA96EB"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VND</w:t>
            </w:r>
          </w:p>
        </w:tc>
        <w:tc>
          <w:tcPr>
            <w:tcW w:w="1958" w:type="dxa"/>
            <w:tcMar>
              <w:top w:w="0" w:type="dxa"/>
              <w:bottom w:w="0" w:type="dxa"/>
            </w:tcMar>
            <w:vAlign w:val="center"/>
          </w:tcPr>
          <w:p w14:paraId="2D0C868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5,598,018,420</w:t>
            </w:r>
          </w:p>
        </w:tc>
        <w:tc>
          <w:tcPr>
            <w:tcW w:w="1847" w:type="dxa"/>
            <w:tcMar>
              <w:top w:w="0" w:type="dxa"/>
              <w:bottom w:w="0" w:type="dxa"/>
            </w:tcMar>
            <w:vAlign w:val="center"/>
          </w:tcPr>
          <w:p w14:paraId="54916B4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90,000,000,000</w:t>
            </w:r>
          </w:p>
        </w:tc>
      </w:tr>
      <w:tr w:rsidR="008D218E" w14:paraId="257444D7" w14:textId="77777777">
        <w:tc>
          <w:tcPr>
            <w:tcW w:w="723" w:type="dxa"/>
            <w:tcMar>
              <w:top w:w="0" w:type="dxa"/>
              <w:bottom w:w="0" w:type="dxa"/>
            </w:tcMar>
            <w:vAlign w:val="center"/>
          </w:tcPr>
          <w:p w14:paraId="1A3BE023"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2</w:t>
            </w:r>
          </w:p>
        </w:tc>
        <w:tc>
          <w:tcPr>
            <w:tcW w:w="2956" w:type="dxa"/>
            <w:tcMar>
              <w:top w:w="0" w:type="dxa"/>
              <w:bottom w:w="0" w:type="dxa"/>
            </w:tcMar>
            <w:vAlign w:val="center"/>
          </w:tcPr>
          <w:p w14:paraId="06125CFC"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Total profit after tax</w:t>
            </w:r>
          </w:p>
        </w:tc>
        <w:tc>
          <w:tcPr>
            <w:tcW w:w="1533" w:type="dxa"/>
            <w:tcMar>
              <w:top w:w="0" w:type="dxa"/>
              <w:bottom w:w="0" w:type="dxa"/>
            </w:tcMar>
            <w:vAlign w:val="center"/>
          </w:tcPr>
          <w:p w14:paraId="0985E0D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VND</w:t>
            </w:r>
          </w:p>
        </w:tc>
        <w:tc>
          <w:tcPr>
            <w:tcW w:w="1958" w:type="dxa"/>
            <w:tcMar>
              <w:top w:w="0" w:type="dxa"/>
              <w:bottom w:w="0" w:type="dxa"/>
            </w:tcMar>
            <w:vAlign w:val="center"/>
          </w:tcPr>
          <w:p w14:paraId="700FD29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463,852,215</w:t>
            </w:r>
          </w:p>
        </w:tc>
        <w:tc>
          <w:tcPr>
            <w:tcW w:w="1847" w:type="dxa"/>
            <w:tcMar>
              <w:top w:w="0" w:type="dxa"/>
              <w:bottom w:w="0" w:type="dxa"/>
            </w:tcMar>
            <w:vAlign w:val="center"/>
          </w:tcPr>
          <w:p w14:paraId="2A0F3BC2"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7,000,000,000</w:t>
            </w:r>
          </w:p>
        </w:tc>
      </w:tr>
      <w:tr w:rsidR="008D218E" w14:paraId="2271E519" w14:textId="77777777">
        <w:tc>
          <w:tcPr>
            <w:tcW w:w="723" w:type="dxa"/>
            <w:tcMar>
              <w:top w:w="0" w:type="dxa"/>
              <w:bottom w:w="0" w:type="dxa"/>
            </w:tcMar>
            <w:vAlign w:val="center"/>
          </w:tcPr>
          <w:p w14:paraId="7881AAE4"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3</w:t>
            </w:r>
          </w:p>
        </w:tc>
        <w:tc>
          <w:tcPr>
            <w:tcW w:w="2956" w:type="dxa"/>
            <w:tcMar>
              <w:top w:w="0" w:type="dxa"/>
              <w:bottom w:w="0" w:type="dxa"/>
            </w:tcMar>
            <w:vAlign w:val="center"/>
          </w:tcPr>
          <w:p w14:paraId="2185F546"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Dividend payment rate</w:t>
            </w:r>
          </w:p>
        </w:tc>
        <w:tc>
          <w:tcPr>
            <w:tcW w:w="1533" w:type="dxa"/>
            <w:tcMar>
              <w:top w:w="0" w:type="dxa"/>
              <w:bottom w:w="0" w:type="dxa"/>
            </w:tcMar>
            <w:vAlign w:val="center"/>
          </w:tcPr>
          <w:p w14:paraId="2B1F4F6E"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w:t>
            </w:r>
          </w:p>
        </w:tc>
        <w:tc>
          <w:tcPr>
            <w:tcW w:w="1958" w:type="dxa"/>
            <w:tcMar>
              <w:top w:w="0" w:type="dxa"/>
              <w:bottom w:w="0" w:type="dxa"/>
            </w:tcMar>
            <w:vAlign w:val="center"/>
          </w:tcPr>
          <w:p w14:paraId="6B36EFFF"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0</w:t>
            </w:r>
          </w:p>
        </w:tc>
        <w:tc>
          <w:tcPr>
            <w:tcW w:w="1847" w:type="dxa"/>
            <w:tcMar>
              <w:top w:w="0" w:type="dxa"/>
              <w:bottom w:w="0" w:type="dxa"/>
            </w:tcMar>
            <w:vAlign w:val="center"/>
          </w:tcPr>
          <w:p w14:paraId="35A1FCF4"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0</w:t>
            </w:r>
          </w:p>
        </w:tc>
      </w:tr>
    </w:tbl>
    <w:p w14:paraId="613CEBD0" w14:textId="0C96202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5: </w:t>
      </w:r>
      <w:r>
        <w:rPr>
          <w:rFonts w:ascii="Arial" w:hAnsi="Arial"/>
          <w:sz w:val="20"/>
        </w:rPr>
        <w:t>Approve Proposal No. 05/2026/LMC/TTR-001 of</w:t>
      </w:r>
      <w:r w:rsidR="00170FBD">
        <w:rPr>
          <w:rFonts w:ascii="Arial" w:hAnsi="Arial"/>
          <w:sz w:val="20"/>
        </w:rPr>
        <w:t xml:space="preserve"> the Board of Directors on the A</w:t>
      </w:r>
      <w:r>
        <w:rPr>
          <w:rFonts w:ascii="Arial" w:hAnsi="Arial"/>
          <w:sz w:val="20"/>
        </w:rPr>
        <w:t>udited Financial Statements 2025.</w:t>
      </w:r>
    </w:p>
    <w:p w14:paraId="792F74F5" w14:textId="08CD4B95"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6: </w:t>
      </w:r>
      <w:r>
        <w:rPr>
          <w:rFonts w:ascii="Arial" w:hAnsi="Arial"/>
          <w:sz w:val="20"/>
        </w:rPr>
        <w:t>Approve Proposal No. 06/2026/LMC/TTR-001 o</w:t>
      </w:r>
      <w:r w:rsidR="00D30B58">
        <w:rPr>
          <w:rFonts w:ascii="Arial" w:hAnsi="Arial"/>
          <w:sz w:val="20"/>
        </w:rPr>
        <w:t xml:space="preserve">f the Board of Directors on </w:t>
      </w:r>
      <w:r>
        <w:rPr>
          <w:rFonts w:ascii="Arial" w:hAnsi="Arial"/>
          <w:sz w:val="20"/>
        </w:rPr>
        <w:t>profit distribution plan 2025.</w:t>
      </w:r>
    </w:p>
    <w:tbl>
      <w:tblPr>
        <w:tblStyle w:val="a0"/>
        <w:tblW w:w="90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6489"/>
        <w:gridCol w:w="1820"/>
      </w:tblGrid>
      <w:tr w:rsidR="008D218E" w14:paraId="30EB0E3A" w14:textId="77777777">
        <w:tc>
          <w:tcPr>
            <w:tcW w:w="708" w:type="dxa"/>
            <w:tcMar>
              <w:top w:w="0" w:type="dxa"/>
              <w:bottom w:w="0" w:type="dxa"/>
            </w:tcMar>
            <w:vAlign w:val="center"/>
          </w:tcPr>
          <w:p w14:paraId="2CA6D883"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No.</w:t>
            </w:r>
          </w:p>
        </w:tc>
        <w:tc>
          <w:tcPr>
            <w:tcW w:w="6489" w:type="dxa"/>
            <w:tcMar>
              <w:top w:w="0" w:type="dxa"/>
              <w:bottom w:w="0" w:type="dxa"/>
            </w:tcMar>
            <w:vAlign w:val="center"/>
          </w:tcPr>
          <w:p w14:paraId="17CCD6A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Contents</w:t>
            </w:r>
          </w:p>
        </w:tc>
        <w:tc>
          <w:tcPr>
            <w:tcW w:w="1820" w:type="dxa"/>
            <w:tcMar>
              <w:top w:w="0" w:type="dxa"/>
              <w:bottom w:w="0" w:type="dxa"/>
            </w:tcMar>
            <w:vAlign w:val="center"/>
          </w:tcPr>
          <w:p w14:paraId="2853C64C"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Amount (VND)</w:t>
            </w:r>
          </w:p>
        </w:tc>
      </w:tr>
      <w:tr w:rsidR="008D218E" w14:paraId="05A5F2AE" w14:textId="77777777">
        <w:tc>
          <w:tcPr>
            <w:tcW w:w="708" w:type="dxa"/>
            <w:tcMar>
              <w:top w:w="0" w:type="dxa"/>
              <w:bottom w:w="0" w:type="dxa"/>
            </w:tcMar>
            <w:vAlign w:val="center"/>
          </w:tcPr>
          <w:p w14:paraId="448D9EE3"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w:t>
            </w:r>
          </w:p>
        </w:tc>
        <w:tc>
          <w:tcPr>
            <w:tcW w:w="6489" w:type="dxa"/>
            <w:tcMar>
              <w:top w:w="0" w:type="dxa"/>
              <w:bottom w:w="0" w:type="dxa"/>
            </w:tcMar>
            <w:vAlign w:val="center"/>
          </w:tcPr>
          <w:p w14:paraId="08153FD0"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Accumulated undistributed profit after tax as of December 31, 2025, according to the Consolidated Financial Statements</w:t>
            </w:r>
          </w:p>
        </w:tc>
        <w:tc>
          <w:tcPr>
            <w:tcW w:w="1820" w:type="dxa"/>
            <w:tcMar>
              <w:top w:w="0" w:type="dxa"/>
              <w:bottom w:w="0" w:type="dxa"/>
            </w:tcMar>
            <w:vAlign w:val="center"/>
          </w:tcPr>
          <w:p w14:paraId="323DBDC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12,129,169,469</w:t>
            </w:r>
          </w:p>
        </w:tc>
      </w:tr>
      <w:tr w:rsidR="008D218E" w14:paraId="090F0A99" w14:textId="77777777">
        <w:tc>
          <w:tcPr>
            <w:tcW w:w="708" w:type="dxa"/>
            <w:tcMar>
              <w:top w:w="0" w:type="dxa"/>
              <w:bottom w:w="0" w:type="dxa"/>
            </w:tcMar>
            <w:vAlign w:val="center"/>
          </w:tcPr>
          <w:p w14:paraId="4A5BB4F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2</w:t>
            </w:r>
          </w:p>
        </w:tc>
        <w:tc>
          <w:tcPr>
            <w:tcW w:w="6489" w:type="dxa"/>
            <w:tcMar>
              <w:top w:w="0" w:type="dxa"/>
              <w:bottom w:w="0" w:type="dxa"/>
            </w:tcMar>
            <w:vAlign w:val="center"/>
          </w:tcPr>
          <w:p w14:paraId="3B39FA3D"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Distributed profit after tax</w:t>
            </w:r>
          </w:p>
        </w:tc>
        <w:tc>
          <w:tcPr>
            <w:tcW w:w="1820" w:type="dxa"/>
            <w:tcMar>
              <w:top w:w="0" w:type="dxa"/>
              <w:bottom w:w="0" w:type="dxa"/>
            </w:tcMar>
            <w:vAlign w:val="center"/>
          </w:tcPr>
          <w:p w14:paraId="3A41CAD4"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0</w:t>
            </w:r>
          </w:p>
        </w:tc>
      </w:tr>
      <w:tr w:rsidR="008D218E" w14:paraId="7D797C9B" w14:textId="77777777">
        <w:tc>
          <w:tcPr>
            <w:tcW w:w="708" w:type="dxa"/>
            <w:tcMar>
              <w:top w:w="0" w:type="dxa"/>
              <w:bottom w:w="0" w:type="dxa"/>
            </w:tcMar>
            <w:vAlign w:val="center"/>
          </w:tcPr>
          <w:p w14:paraId="2116526C" w14:textId="77777777" w:rsidR="008D218E" w:rsidRDefault="008D218E" w:rsidP="00170FBD">
            <w:pPr>
              <w:spacing w:after="120" w:line="360" w:lineRule="auto"/>
              <w:jc w:val="both"/>
              <w:rPr>
                <w:rFonts w:ascii="Arial" w:eastAsia="Arial" w:hAnsi="Arial" w:cs="Arial"/>
                <w:color w:val="000000"/>
                <w:sz w:val="20"/>
                <w:szCs w:val="20"/>
              </w:rPr>
            </w:pPr>
          </w:p>
        </w:tc>
        <w:tc>
          <w:tcPr>
            <w:tcW w:w="6489" w:type="dxa"/>
            <w:tcMar>
              <w:top w:w="0" w:type="dxa"/>
              <w:bottom w:w="0" w:type="dxa"/>
            </w:tcMar>
            <w:vAlign w:val="center"/>
          </w:tcPr>
          <w:p w14:paraId="7064AD9B"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Bonus and Welfare funds</w:t>
            </w:r>
          </w:p>
        </w:tc>
        <w:tc>
          <w:tcPr>
            <w:tcW w:w="1820" w:type="dxa"/>
            <w:tcMar>
              <w:top w:w="0" w:type="dxa"/>
              <w:bottom w:w="0" w:type="dxa"/>
            </w:tcMar>
            <w:vAlign w:val="center"/>
          </w:tcPr>
          <w:p w14:paraId="6165123C"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0</w:t>
            </w:r>
          </w:p>
        </w:tc>
      </w:tr>
      <w:tr w:rsidR="008D218E" w14:paraId="63514A64" w14:textId="77777777">
        <w:tc>
          <w:tcPr>
            <w:tcW w:w="708" w:type="dxa"/>
            <w:tcMar>
              <w:top w:w="0" w:type="dxa"/>
              <w:bottom w:w="0" w:type="dxa"/>
            </w:tcMar>
            <w:vAlign w:val="center"/>
          </w:tcPr>
          <w:p w14:paraId="38AE4D55" w14:textId="77777777" w:rsidR="008D218E" w:rsidRDefault="008D218E" w:rsidP="00170FBD">
            <w:pPr>
              <w:spacing w:after="120" w:line="360" w:lineRule="auto"/>
              <w:jc w:val="both"/>
              <w:rPr>
                <w:rFonts w:ascii="Arial" w:eastAsia="Arial" w:hAnsi="Arial" w:cs="Arial"/>
                <w:color w:val="000000"/>
                <w:sz w:val="20"/>
                <w:szCs w:val="20"/>
              </w:rPr>
            </w:pPr>
          </w:p>
        </w:tc>
        <w:tc>
          <w:tcPr>
            <w:tcW w:w="6489" w:type="dxa"/>
            <w:tcMar>
              <w:top w:w="0" w:type="dxa"/>
              <w:bottom w:w="0" w:type="dxa"/>
            </w:tcMar>
            <w:vAlign w:val="center"/>
          </w:tcPr>
          <w:p w14:paraId="11D975A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Development investment fund</w:t>
            </w:r>
          </w:p>
        </w:tc>
        <w:tc>
          <w:tcPr>
            <w:tcW w:w="1820" w:type="dxa"/>
            <w:tcMar>
              <w:top w:w="0" w:type="dxa"/>
              <w:bottom w:w="0" w:type="dxa"/>
            </w:tcMar>
            <w:vAlign w:val="center"/>
          </w:tcPr>
          <w:p w14:paraId="5E83048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0</w:t>
            </w:r>
          </w:p>
        </w:tc>
      </w:tr>
      <w:tr w:rsidR="008D218E" w14:paraId="293A5B77" w14:textId="77777777">
        <w:tc>
          <w:tcPr>
            <w:tcW w:w="708" w:type="dxa"/>
            <w:tcMar>
              <w:top w:w="0" w:type="dxa"/>
              <w:bottom w:w="0" w:type="dxa"/>
            </w:tcMar>
            <w:vAlign w:val="center"/>
          </w:tcPr>
          <w:p w14:paraId="409FC3A2" w14:textId="77777777" w:rsidR="008D218E" w:rsidRDefault="008D218E" w:rsidP="00170FBD">
            <w:pPr>
              <w:spacing w:after="120" w:line="360" w:lineRule="auto"/>
              <w:jc w:val="both"/>
              <w:rPr>
                <w:rFonts w:ascii="Arial" w:eastAsia="Arial" w:hAnsi="Arial" w:cs="Arial"/>
                <w:color w:val="000000"/>
                <w:sz w:val="20"/>
                <w:szCs w:val="20"/>
              </w:rPr>
            </w:pPr>
          </w:p>
        </w:tc>
        <w:tc>
          <w:tcPr>
            <w:tcW w:w="6489" w:type="dxa"/>
            <w:tcMar>
              <w:top w:w="0" w:type="dxa"/>
              <w:bottom w:w="0" w:type="dxa"/>
            </w:tcMar>
            <w:vAlign w:val="center"/>
          </w:tcPr>
          <w:p w14:paraId="4C20E781"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Dividend payment 2025</w:t>
            </w:r>
          </w:p>
        </w:tc>
        <w:tc>
          <w:tcPr>
            <w:tcW w:w="1820" w:type="dxa"/>
            <w:tcMar>
              <w:top w:w="0" w:type="dxa"/>
              <w:bottom w:w="0" w:type="dxa"/>
            </w:tcMar>
            <w:vAlign w:val="center"/>
          </w:tcPr>
          <w:p w14:paraId="255E2EE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0</w:t>
            </w:r>
          </w:p>
        </w:tc>
      </w:tr>
      <w:tr w:rsidR="008D218E" w14:paraId="45BDE72B" w14:textId="77777777">
        <w:tc>
          <w:tcPr>
            <w:tcW w:w="708" w:type="dxa"/>
            <w:tcMar>
              <w:top w:w="0" w:type="dxa"/>
              <w:bottom w:w="0" w:type="dxa"/>
            </w:tcMar>
            <w:vAlign w:val="center"/>
          </w:tcPr>
          <w:p w14:paraId="3ED3AE43"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3</w:t>
            </w:r>
          </w:p>
        </w:tc>
        <w:tc>
          <w:tcPr>
            <w:tcW w:w="6489" w:type="dxa"/>
            <w:tcMar>
              <w:top w:w="0" w:type="dxa"/>
              <w:bottom w:w="0" w:type="dxa"/>
            </w:tcMar>
            <w:vAlign w:val="center"/>
          </w:tcPr>
          <w:p w14:paraId="59D1057F"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Retained profit after distribution:</w:t>
            </w:r>
          </w:p>
        </w:tc>
        <w:tc>
          <w:tcPr>
            <w:tcW w:w="1820" w:type="dxa"/>
            <w:tcMar>
              <w:top w:w="0" w:type="dxa"/>
              <w:bottom w:w="0" w:type="dxa"/>
            </w:tcMar>
            <w:vAlign w:val="center"/>
          </w:tcPr>
          <w:p w14:paraId="42CCCC14"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12,129,169,469</w:t>
            </w:r>
          </w:p>
        </w:tc>
      </w:tr>
    </w:tbl>
    <w:p w14:paraId="215A368A" w14:textId="77777777" w:rsidR="008D218E" w:rsidRDefault="008D218E" w:rsidP="00170FBD">
      <w:pPr>
        <w:pBdr>
          <w:top w:val="nil"/>
          <w:left w:val="nil"/>
          <w:bottom w:val="nil"/>
          <w:right w:val="nil"/>
          <w:between w:val="nil"/>
        </w:pBdr>
        <w:spacing w:after="120" w:line="360" w:lineRule="auto"/>
        <w:jc w:val="both"/>
        <w:rPr>
          <w:rFonts w:ascii="Arial" w:eastAsia="Arial" w:hAnsi="Arial" w:cs="Arial"/>
          <w:color w:val="000000"/>
          <w:sz w:val="20"/>
          <w:szCs w:val="20"/>
        </w:rPr>
      </w:pPr>
    </w:p>
    <w:p w14:paraId="1CEAFE6A" w14:textId="58D5FA2E"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Approve Proposal No. 07/2026/LMC/TTR-001 of the Board of Directors on remu</w:t>
      </w:r>
      <w:r w:rsidR="00D30B58">
        <w:rPr>
          <w:rFonts w:ascii="Arial" w:hAnsi="Arial"/>
          <w:sz w:val="20"/>
        </w:rPr>
        <w:t>neration payment in 2025 and</w:t>
      </w:r>
      <w:r>
        <w:rPr>
          <w:rFonts w:ascii="Arial" w:hAnsi="Arial"/>
          <w:sz w:val="20"/>
        </w:rPr>
        <w:t xml:space="preserve"> remuneration plan for members of the Board of Directors in 2026.</w:t>
      </w:r>
    </w:p>
    <w:p w14:paraId="7E2ED769" w14:textId="7FCD80A3"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8: </w:t>
      </w:r>
      <w:r>
        <w:rPr>
          <w:rFonts w:ascii="Arial" w:hAnsi="Arial"/>
          <w:sz w:val="20"/>
        </w:rPr>
        <w:t xml:space="preserve">Approve Proposal No. 08/2026/LMC/TTR-001 of the Board of Directors on the policy for transactions with </w:t>
      </w:r>
      <w:r w:rsidR="004B1311">
        <w:rPr>
          <w:rFonts w:ascii="Arial" w:hAnsi="Arial"/>
          <w:sz w:val="20"/>
        </w:rPr>
        <w:t>related</w:t>
      </w:r>
      <w:r>
        <w:rPr>
          <w:rFonts w:ascii="Arial" w:hAnsi="Arial"/>
          <w:sz w:val="20"/>
        </w:rPr>
        <w:t xml:space="preserve"> parties.</w:t>
      </w:r>
    </w:p>
    <w:p w14:paraId="660ACC1B" w14:textId="7C3CD22F"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lastRenderedPageBreak/>
        <w:t xml:space="preserve">Article 9: </w:t>
      </w:r>
      <w:r>
        <w:rPr>
          <w:rFonts w:ascii="Arial" w:hAnsi="Arial"/>
          <w:sz w:val="20"/>
        </w:rPr>
        <w:t xml:space="preserve">Approve Proposal No. 09/2026/LMC/TTR-001 </w:t>
      </w:r>
      <w:r w:rsidR="00D30B58">
        <w:rPr>
          <w:rFonts w:ascii="Arial" w:hAnsi="Arial"/>
          <w:sz w:val="20"/>
        </w:rPr>
        <w:t xml:space="preserve">of the Supervisory Board on </w:t>
      </w:r>
      <w:r>
        <w:rPr>
          <w:rFonts w:ascii="Arial" w:hAnsi="Arial"/>
          <w:sz w:val="20"/>
        </w:rPr>
        <w:t>selection of the audit company for the Financial Statements 2026.</w:t>
      </w:r>
    </w:p>
    <w:p w14:paraId="4745167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Article 10: Approve Proposal No. 10/2026/LMC/TTR-002 of the Board of Directors on approving the private placement plan.</w:t>
      </w:r>
    </w:p>
    <w:p w14:paraId="407C2B06" w14:textId="6E6CA8E3" w:rsidR="008D218E" w:rsidRDefault="00D30B58" w:rsidP="00170FBD">
      <w:pPr>
        <w:numPr>
          <w:ilvl w:val="0"/>
          <w:numId w:val="3"/>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sz w:val="20"/>
        </w:rPr>
        <w:t>P</w:t>
      </w:r>
      <w:r w:rsidR="00FD5FE0">
        <w:rPr>
          <w:rFonts w:ascii="Arial" w:hAnsi="Arial"/>
          <w:sz w:val="20"/>
        </w:rPr>
        <w:t>rivate placement plan approved under Proposal No. 05.25/TTR-DHDCD-LMC at the Annual General Meeting 2025 is cancelled.</w:t>
      </w:r>
    </w:p>
    <w:p w14:paraId="768B63D0" w14:textId="6AE8B2EC" w:rsidR="008D218E" w:rsidRDefault="00D30B58" w:rsidP="00170FBD">
      <w:pPr>
        <w:keepNext/>
        <w:numPr>
          <w:ilvl w:val="0"/>
          <w:numId w:val="3"/>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sz w:val="20"/>
        </w:rPr>
        <w:t>D</w:t>
      </w:r>
      <w:r w:rsidR="00FD5FE0">
        <w:rPr>
          <w:rFonts w:ascii="Arial" w:hAnsi="Arial"/>
          <w:sz w:val="20"/>
        </w:rPr>
        <w:t>etailed private placement plan for 2026:</w:t>
      </w:r>
    </w:p>
    <w:p w14:paraId="5C810C36" w14:textId="77777777" w:rsidR="008D218E" w:rsidRDefault="00FD5FE0"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Name of Issuer: Long Beach LMC Joint Stock Company</w:t>
      </w:r>
    </w:p>
    <w:p w14:paraId="5DBE51F3" w14:textId="77777777" w:rsidR="008D218E" w:rsidRDefault="00FD5FE0"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Type of shares: Freely transferable common shares</w:t>
      </w:r>
    </w:p>
    <w:p w14:paraId="695ACB6A" w14:textId="77777777" w:rsidR="008D218E" w:rsidRDefault="00FD5FE0"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Par value: VND10,000 per share</w:t>
      </w:r>
    </w:p>
    <w:p w14:paraId="5B3A902D" w14:textId="44B624BD" w:rsidR="008D218E" w:rsidRDefault="00FD5FE0"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Number of o</w:t>
      </w:r>
      <w:r w:rsidR="004B1311">
        <w:rPr>
          <w:rFonts w:ascii="Arial" w:hAnsi="Arial"/>
          <w:color w:val="000000"/>
          <w:sz w:val="20"/>
        </w:rPr>
        <w:t>utstanding shares before issu</w:t>
      </w:r>
      <w:r>
        <w:rPr>
          <w:rFonts w:ascii="Arial" w:hAnsi="Arial"/>
          <w:color w:val="000000"/>
          <w:sz w:val="20"/>
        </w:rPr>
        <w:t>e: 1,500,000 shares</w:t>
      </w:r>
    </w:p>
    <w:p w14:paraId="70B9F30C" w14:textId="77777777" w:rsidR="008D218E" w:rsidRDefault="00FD5FE0"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Expected number of shares to be issued: 3,500,000 shares</w:t>
      </w:r>
    </w:p>
    <w:p w14:paraId="28AE185C" w14:textId="16A8906B" w:rsidR="008D218E" w:rsidRDefault="00D30B58"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Total issu</w:t>
      </w:r>
      <w:r w:rsidR="00FD5FE0">
        <w:rPr>
          <w:rFonts w:ascii="Arial" w:hAnsi="Arial"/>
          <w:color w:val="000000"/>
          <w:sz w:val="20"/>
        </w:rPr>
        <w:t xml:space="preserve">e value (at par value): VND35,000,000,000 </w:t>
      </w:r>
    </w:p>
    <w:p w14:paraId="39E944C8" w14:textId="6A4852AD" w:rsidR="008D218E" w:rsidRDefault="00FD5FE0"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 xml:space="preserve">Expected number of shares after </w:t>
      </w:r>
      <w:r w:rsidR="00D30B58">
        <w:rPr>
          <w:rFonts w:ascii="Arial" w:hAnsi="Arial"/>
          <w:color w:val="000000"/>
          <w:sz w:val="20"/>
        </w:rPr>
        <w:t>issue</w:t>
      </w:r>
      <w:r>
        <w:rPr>
          <w:rFonts w:ascii="Arial" w:hAnsi="Arial"/>
          <w:color w:val="000000"/>
          <w:sz w:val="20"/>
        </w:rPr>
        <w:t>: 5,000,000 shares</w:t>
      </w:r>
    </w:p>
    <w:p w14:paraId="450091CF" w14:textId="01E610BC" w:rsidR="008D218E" w:rsidRDefault="00D30B58"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Purpose of issu</w:t>
      </w:r>
      <w:r w:rsidR="00FD5FE0">
        <w:rPr>
          <w:rFonts w:ascii="Arial" w:hAnsi="Arial"/>
          <w:color w:val="000000"/>
          <w:sz w:val="20"/>
        </w:rPr>
        <w:t xml:space="preserve">e: </w:t>
      </w:r>
      <w:r w:rsidR="00FD5FE0">
        <w:rPr>
          <w:rFonts w:ascii="Arial" w:hAnsi="Arial"/>
          <w:sz w:val="20"/>
        </w:rPr>
        <w:t>To ensure contributed charter capital reaches at least VND30 billion, meeting the capital scale requirements applicable to public companies under current securities regulations.</w:t>
      </w:r>
    </w:p>
    <w:p w14:paraId="41E69448" w14:textId="0AB1193D" w:rsidR="008D218E" w:rsidRDefault="00D30B58" w:rsidP="00170FBD">
      <w:pPr>
        <w:numPr>
          <w:ilvl w:val="0"/>
          <w:numId w:val="4"/>
        </w:numPr>
        <w:pBdr>
          <w:top w:val="nil"/>
          <w:left w:val="nil"/>
          <w:bottom w:val="nil"/>
          <w:right w:val="nil"/>
          <w:between w:val="nil"/>
        </w:pBdr>
        <w:spacing w:after="120" w:line="360" w:lineRule="auto"/>
        <w:ind w:left="0" w:firstLine="0"/>
        <w:jc w:val="both"/>
        <w:rPr>
          <w:rFonts w:ascii="Arial" w:eastAsia="Arial" w:hAnsi="Arial" w:cs="Arial"/>
          <w:color w:val="000000"/>
          <w:sz w:val="20"/>
          <w:szCs w:val="20"/>
        </w:rPr>
      </w:pPr>
      <w:r>
        <w:rPr>
          <w:rFonts w:ascii="Arial" w:hAnsi="Arial"/>
          <w:color w:val="000000"/>
          <w:sz w:val="20"/>
        </w:rPr>
        <w:t>Issu</w:t>
      </w:r>
      <w:r w:rsidR="00FD5FE0">
        <w:rPr>
          <w:rFonts w:ascii="Arial" w:hAnsi="Arial"/>
          <w:color w:val="000000"/>
          <w:sz w:val="20"/>
        </w:rPr>
        <w:t xml:space="preserve">e method: </w:t>
      </w:r>
      <w:r w:rsidR="00FD5FE0">
        <w:rPr>
          <w:rFonts w:ascii="Arial" w:hAnsi="Arial"/>
          <w:sz w:val="20"/>
        </w:rPr>
        <w:t>Private placement to professional securities investors.</w:t>
      </w:r>
    </w:p>
    <w:p w14:paraId="45D35F14" w14:textId="77777777" w:rsidR="008D218E" w:rsidRDefault="00FD5FE0" w:rsidP="00170FBD">
      <w:pPr>
        <w:numPr>
          <w:ilvl w:val="0"/>
          <w:numId w:val="5"/>
        </w:numPr>
        <w:pBdr>
          <w:top w:val="nil"/>
          <w:left w:val="nil"/>
          <w:bottom w:val="nil"/>
          <w:right w:val="nil"/>
          <w:between w:val="nil"/>
        </w:pBdr>
        <w:tabs>
          <w:tab w:val="left" w:pos="306"/>
        </w:tabs>
        <w:spacing w:after="120" w:line="360" w:lineRule="auto"/>
        <w:jc w:val="both"/>
        <w:rPr>
          <w:rFonts w:ascii="Arial" w:eastAsia="Arial" w:hAnsi="Arial" w:cs="Arial"/>
          <w:color w:val="000000"/>
          <w:sz w:val="20"/>
          <w:szCs w:val="20"/>
        </w:rPr>
      </w:pPr>
      <w:r>
        <w:rPr>
          <w:rFonts w:ascii="Arial" w:hAnsi="Arial"/>
          <w:color w:val="000000"/>
          <w:sz w:val="20"/>
        </w:rPr>
        <w:t>Offering price: VND10,000 per share</w:t>
      </w:r>
    </w:p>
    <w:p w14:paraId="58F362B2" w14:textId="344A2F9E" w:rsidR="008D218E" w:rsidRDefault="00FD5FE0" w:rsidP="00170FBD">
      <w:pPr>
        <w:numPr>
          <w:ilvl w:val="0"/>
          <w:numId w:val="5"/>
        </w:numPr>
        <w:pBdr>
          <w:top w:val="nil"/>
          <w:left w:val="nil"/>
          <w:bottom w:val="nil"/>
          <w:right w:val="nil"/>
          <w:between w:val="nil"/>
        </w:pBdr>
        <w:tabs>
          <w:tab w:val="left" w:pos="306"/>
        </w:tabs>
        <w:spacing w:after="120" w:line="360" w:lineRule="auto"/>
        <w:jc w:val="both"/>
        <w:rPr>
          <w:rFonts w:ascii="Arial" w:eastAsia="Arial" w:hAnsi="Arial" w:cs="Arial"/>
          <w:color w:val="000000"/>
          <w:sz w:val="20"/>
          <w:szCs w:val="20"/>
        </w:rPr>
      </w:pPr>
      <w:bookmarkStart w:id="0" w:name="_heading=h.wsvzegxdwrma"/>
      <w:bookmarkEnd w:id="0"/>
      <w:r>
        <w:rPr>
          <w:rFonts w:ascii="Arial" w:hAnsi="Arial"/>
          <w:sz w:val="20"/>
        </w:rPr>
        <w:t>Total ex</w:t>
      </w:r>
      <w:r w:rsidR="00D30B58">
        <w:rPr>
          <w:rFonts w:ascii="Arial" w:hAnsi="Arial"/>
          <w:sz w:val="20"/>
        </w:rPr>
        <w:t>pected proceeds from the issu</w:t>
      </w:r>
      <w:r>
        <w:rPr>
          <w:rFonts w:ascii="Arial" w:hAnsi="Arial"/>
          <w:sz w:val="20"/>
        </w:rPr>
        <w:t>e:</w:t>
      </w:r>
      <w:r>
        <w:rPr>
          <w:rFonts w:ascii="Arial" w:hAnsi="Arial"/>
          <w:color w:val="000000"/>
          <w:sz w:val="20"/>
        </w:rPr>
        <w:t xml:space="preserve"> VND35,000,000,000 </w:t>
      </w:r>
    </w:p>
    <w:p w14:paraId="0C1E3E1A" w14:textId="6C7F589A" w:rsidR="008D218E" w:rsidRDefault="00B733F4" w:rsidP="00170FBD">
      <w:pPr>
        <w:numPr>
          <w:ilvl w:val="0"/>
          <w:numId w:val="6"/>
        </w:numPr>
        <w:pBdr>
          <w:top w:val="nil"/>
          <w:left w:val="nil"/>
          <w:bottom w:val="nil"/>
          <w:right w:val="nil"/>
          <w:between w:val="nil"/>
        </w:pBdr>
        <w:tabs>
          <w:tab w:val="left" w:pos="775"/>
        </w:tabs>
        <w:spacing w:after="120" w:line="360" w:lineRule="auto"/>
        <w:jc w:val="both"/>
        <w:rPr>
          <w:rFonts w:ascii="Arial" w:eastAsia="Arial" w:hAnsi="Arial" w:cs="Arial"/>
          <w:color w:val="000000"/>
          <w:sz w:val="20"/>
          <w:szCs w:val="20"/>
        </w:rPr>
      </w:pPr>
      <w:r>
        <w:rPr>
          <w:rFonts w:ascii="Arial" w:hAnsi="Arial"/>
          <w:color w:val="000000"/>
          <w:sz w:val="20"/>
        </w:rPr>
        <w:t>Eligible</w:t>
      </w:r>
      <w:r w:rsidR="00FD5FE0">
        <w:rPr>
          <w:rFonts w:ascii="Arial" w:hAnsi="Arial"/>
          <w:color w:val="000000"/>
          <w:sz w:val="20"/>
        </w:rPr>
        <w:t xml:space="preserve"> buyers: </w:t>
      </w:r>
      <w:r w:rsidR="00FD5FE0">
        <w:rPr>
          <w:rFonts w:ascii="Arial" w:hAnsi="Arial"/>
          <w:sz w:val="20"/>
        </w:rPr>
        <w:t>Domestic professional securities investors.</w:t>
      </w:r>
    </w:p>
    <w:p w14:paraId="7F413373" w14:textId="77777777" w:rsidR="008D218E" w:rsidRDefault="00FD5FE0" w:rsidP="00170FBD">
      <w:pPr>
        <w:numPr>
          <w:ilvl w:val="0"/>
          <w:numId w:val="6"/>
        </w:numPr>
        <w:pBdr>
          <w:top w:val="nil"/>
          <w:left w:val="nil"/>
          <w:bottom w:val="nil"/>
          <w:right w:val="nil"/>
          <w:between w:val="nil"/>
        </w:pBdr>
        <w:tabs>
          <w:tab w:val="left" w:pos="775"/>
        </w:tabs>
        <w:spacing w:after="120" w:line="360" w:lineRule="auto"/>
        <w:jc w:val="both"/>
        <w:rPr>
          <w:rFonts w:ascii="Arial" w:eastAsia="Arial" w:hAnsi="Arial" w:cs="Arial"/>
          <w:color w:val="000000"/>
          <w:sz w:val="20"/>
          <w:szCs w:val="20"/>
        </w:rPr>
      </w:pPr>
      <w:r>
        <w:rPr>
          <w:rFonts w:ascii="Arial" w:hAnsi="Arial"/>
          <w:sz w:val="20"/>
        </w:rPr>
        <w:t>Criteria for selecting investors:</w:t>
      </w:r>
    </w:p>
    <w:p w14:paraId="035FB1FA" w14:textId="77777777" w:rsidR="008D218E" w:rsidRDefault="00FD5FE0" w:rsidP="00170FBD">
      <w:pPr>
        <w:numPr>
          <w:ilvl w:val="0"/>
          <w:numId w:val="7"/>
        </w:numPr>
        <w:pBdr>
          <w:top w:val="nil"/>
          <w:left w:val="nil"/>
          <w:bottom w:val="nil"/>
          <w:right w:val="nil"/>
          <w:between w:val="nil"/>
        </w:pBdr>
        <w:tabs>
          <w:tab w:val="left" w:pos="882"/>
        </w:tabs>
        <w:spacing w:after="120" w:line="360" w:lineRule="auto"/>
        <w:jc w:val="both"/>
        <w:rPr>
          <w:rFonts w:ascii="Arial" w:eastAsia="Arial" w:hAnsi="Arial" w:cs="Arial"/>
          <w:color w:val="000000"/>
          <w:sz w:val="20"/>
          <w:szCs w:val="20"/>
        </w:rPr>
      </w:pPr>
      <w:r>
        <w:rPr>
          <w:rFonts w:ascii="Arial" w:hAnsi="Arial"/>
          <w:sz w:val="20"/>
        </w:rPr>
        <w:t>Professional securities investors, as defined by applicable laws, are domestic individuals and/or organizations that demonstrate a genuine willingness to cooperate, possess sufficient financial capacity, and are able to fully fulfill their payment obligations for the shares they subscribe to purchase;</w:t>
      </w:r>
    </w:p>
    <w:p w14:paraId="093B6637" w14:textId="77777777" w:rsidR="008D218E" w:rsidRDefault="00FD5FE0" w:rsidP="00170FBD">
      <w:pPr>
        <w:numPr>
          <w:ilvl w:val="0"/>
          <w:numId w:val="7"/>
        </w:numPr>
        <w:pBdr>
          <w:top w:val="nil"/>
          <w:left w:val="nil"/>
          <w:bottom w:val="nil"/>
          <w:right w:val="nil"/>
          <w:between w:val="nil"/>
        </w:pBdr>
        <w:tabs>
          <w:tab w:val="left" w:pos="882"/>
        </w:tabs>
        <w:spacing w:after="120" w:line="360" w:lineRule="auto"/>
        <w:jc w:val="both"/>
        <w:rPr>
          <w:rFonts w:ascii="Arial" w:eastAsia="Arial" w:hAnsi="Arial" w:cs="Arial"/>
          <w:color w:val="000000"/>
          <w:sz w:val="20"/>
          <w:szCs w:val="20"/>
        </w:rPr>
      </w:pPr>
      <w:r>
        <w:rPr>
          <w:rFonts w:ascii="Arial" w:hAnsi="Arial"/>
          <w:sz w:val="20"/>
        </w:rPr>
        <w:t>Individuals who are members of the Board of Directors, members of the Board of Management, and key personnel of the Company with sufficient financial resources and the ability to contribute capital immediately upon registering to purchase shares are eligible to be considered Professional securities investors.</w:t>
      </w:r>
    </w:p>
    <w:p w14:paraId="46CD0DC4" w14:textId="77777777" w:rsidR="008D218E" w:rsidRDefault="00FD5FE0" w:rsidP="00170FBD">
      <w:pPr>
        <w:numPr>
          <w:ilvl w:val="0"/>
          <w:numId w:val="7"/>
        </w:numPr>
        <w:pBdr>
          <w:top w:val="nil"/>
          <w:left w:val="nil"/>
          <w:bottom w:val="nil"/>
          <w:right w:val="nil"/>
          <w:between w:val="nil"/>
        </w:pBdr>
        <w:tabs>
          <w:tab w:val="left" w:pos="882"/>
        </w:tabs>
        <w:spacing w:after="120" w:line="360" w:lineRule="auto"/>
        <w:jc w:val="both"/>
        <w:rPr>
          <w:rFonts w:ascii="Arial" w:eastAsia="Arial" w:hAnsi="Arial" w:cs="Arial"/>
          <w:color w:val="000000"/>
          <w:sz w:val="20"/>
          <w:szCs w:val="20"/>
        </w:rPr>
      </w:pPr>
      <w:r>
        <w:rPr>
          <w:rFonts w:ascii="Arial" w:hAnsi="Arial"/>
          <w:sz w:val="20"/>
        </w:rPr>
        <w:t>The number of investors participating in the private placement shall not exceed ten (10) professional securities investors.</w:t>
      </w:r>
    </w:p>
    <w:p w14:paraId="4396047A" w14:textId="69E4EC60" w:rsidR="008D218E" w:rsidRDefault="00FD5FE0" w:rsidP="00170FBD">
      <w:pPr>
        <w:numPr>
          <w:ilvl w:val="0"/>
          <w:numId w:val="6"/>
        </w:numPr>
        <w:pBdr>
          <w:top w:val="nil"/>
          <w:left w:val="nil"/>
          <w:bottom w:val="nil"/>
          <w:right w:val="nil"/>
          <w:between w:val="nil"/>
        </w:pBdr>
        <w:tabs>
          <w:tab w:val="left" w:pos="775"/>
        </w:tabs>
        <w:spacing w:after="120" w:line="360" w:lineRule="auto"/>
        <w:jc w:val="both"/>
        <w:rPr>
          <w:rFonts w:ascii="Arial" w:eastAsia="Arial" w:hAnsi="Arial" w:cs="Arial"/>
          <w:color w:val="000000"/>
          <w:sz w:val="20"/>
          <w:szCs w:val="20"/>
        </w:rPr>
      </w:pPr>
      <w:r>
        <w:rPr>
          <w:rFonts w:ascii="Arial" w:hAnsi="Arial"/>
          <w:color w:val="000000"/>
          <w:sz w:val="20"/>
        </w:rPr>
        <w:t>List of expected shareholde</w:t>
      </w:r>
      <w:r w:rsidR="00D30B58">
        <w:rPr>
          <w:rFonts w:ascii="Arial" w:hAnsi="Arial"/>
          <w:color w:val="000000"/>
          <w:sz w:val="20"/>
        </w:rPr>
        <w:t>rs to participate in the issu</w:t>
      </w:r>
      <w:r>
        <w:rPr>
          <w:rFonts w:ascii="Arial" w:hAnsi="Arial"/>
          <w:color w:val="000000"/>
          <w:sz w:val="20"/>
        </w:rPr>
        <w:t>e:</w:t>
      </w:r>
    </w:p>
    <w:tbl>
      <w:tblPr>
        <w:tblStyle w:val="a1"/>
        <w:tblW w:w="90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
        <w:gridCol w:w="2510"/>
        <w:gridCol w:w="3179"/>
        <w:gridCol w:w="2591"/>
      </w:tblGrid>
      <w:tr w:rsidR="008D218E" w14:paraId="5BF1D236" w14:textId="77777777">
        <w:tc>
          <w:tcPr>
            <w:tcW w:w="737" w:type="dxa"/>
            <w:tcMar>
              <w:top w:w="0" w:type="dxa"/>
              <w:bottom w:w="0" w:type="dxa"/>
            </w:tcMar>
            <w:vAlign w:val="center"/>
          </w:tcPr>
          <w:p w14:paraId="6D3681D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No.</w:t>
            </w:r>
          </w:p>
        </w:tc>
        <w:tc>
          <w:tcPr>
            <w:tcW w:w="2510" w:type="dxa"/>
            <w:tcMar>
              <w:top w:w="0" w:type="dxa"/>
              <w:bottom w:w="0" w:type="dxa"/>
            </w:tcMar>
            <w:vAlign w:val="center"/>
          </w:tcPr>
          <w:p w14:paraId="5F20779D"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Full name of investor</w:t>
            </w:r>
          </w:p>
        </w:tc>
        <w:tc>
          <w:tcPr>
            <w:tcW w:w="3179" w:type="dxa"/>
            <w:tcMar>
              <w:top w:w="0" w:type="dxa"/>
              <w:bottom w:w="0" w:type="dxa"/>
            </w:tcMar>
            <w:vAlign w:val="center"/>
          </w:tcPr>
          <w:p w14:paraId="7B999FC4"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Citizen Identity</w:t>
            </w:r>
          </w:p>
        </w:tc>
        <w:tc>
          <w:tcPr>
            <w:tcW w:w="2591" w:type="dxa"/>
            <w:tcMar>
              <w:top w:w="0" w:type="dxa"/>
              <w:bottom w:w="0" w:type="dxa"/>
            </w:tcMar>
            <w:vAlign w:val="center"/>
          </w:tcPr>
          <w:p w14:paraId="4F932B52"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 xml:space="preserve">Number of shares expected </w:t>
            </w:r>
            <w:r>
              <w:rPr>
                <w:rFonts w:ascii="Arial" w:hAnsi="Arial"/>
                <w:sz w:val="20"/>
              </w:rPr>
              <w:lastRenderedPageBreak/>
              <w:t>to be purchased</w:t>
            </w:r>
          </w:p>
        </w:tc>
      </w:tr>
      <w:tr w:rsidR="008D218E" w14:paraId="049FBC99" w14:textId="77777777">
        <w:tc>
          <w:tcPr>
            <w:tcW w:w="737" w:type="dxa"/>
            <w:tcMar>
              <w:top w:w="0" w:type="dxa"/>
              <w:bottom w:w="0" w:type="dxa"/>
            </w:tcMar>
            <w:vAlign w:val="center"/>
          </w:tcPr>
          <w:p w14:paraId="671A5142" w14:textId="77777777" w:rsidR="008D218E" w:rsidRDefault="008D218E" w:rsidP="00170FBD">
            <w:pPr>
              <w:spacing w:after="120" w:line="360" w:lineRule="auto"/>
              <w:jc w:val="both"/>
              <w:rPr>
                <w:rFonts w:ascii="Arial" w:eastAsia="Arial" w:hAnsi="Arial" w:cs="Arial"/>
                <w:color w:val="000000"/>
                <w:sz w:val="20"/>
                <w:szCs w:val="20"/>
              </w:rPr>
            </w:pPr>
          </w:p>
        </w:tc>
        <w:tc>
          <w:tcPr>
            <w:tcW w:w="2510" w:type="dxa"/>
            <w:tcMar>
              <w:top w:w="0" w:type="dxa"/>
              <w:bottom w:w="0" w:type="dxa"/>
            </w:tcMar>
            <w:vAlign w:val="center"/>
          </w:tcPr>
          <w:p w14:paraId="77AC438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Viet Capital Securities Investment Fund Management JSC</w:t>
            </w:r>
          </w:p>
        </w:tc>
        <w:tc>
          <w:tcPr>
            <w:tcW w:w="3179" w:type="dxa"/>
            <w:tcMar>
              <w:top w:w="0" w:type="dxa"/>
              <w:bottom w:w="0" w:type="dxa"/>
            </w:tcMar>
            <w:vAlign w:val="center"/>
          </w:tcPr>
          <w:p w14:paraId="26A7FAEC"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17/GPĐC-UBCK</w:t>
            </w:r>
          </w:p>
        </w:tc>
        <w:tc>
          <w:tcPr>
            <w:tcW w:w="2591" w:type="dxa"/>
            <w:tcMar>
              <w:top w:w="0" w:type="dxa"/>
              <w:bottom w:w="0" w:type="dxa"/>
            </w:tcMar>
            <w:vAlign w:val="center"/>
          </w:tcPr>
          <w:p w14:paraId="1551F7E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1,000,000</w:t>
            </w:r>
          </w:p>
        </w:tc>
      </w:tr>
      <w:tr w:rsidR="008D218E" w14:paraId="0EDB4327" w14:textId="77777777">
        <w:tc>
          <w:tcPr>
            <w:tcW w:w="737" w:type="dxa"/>
            <w:tcMar>
              <w:top w:w="0" w:type="dxa"/>
              <w:bottom w:w="0" w:type="dxa"/>
            </w:tcMar>
            <w:vAlign w:val="center"/>
          </w:tcPr>
          <w:p w14:paraId="7F12FA17"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2</w:t>
            </w:r>
          </w:p>
        </w:tc>
        <w:tc>
          <w:tcPr>
            <w:tcW w:w="2510" w:type="dxa"/>
            <w:tcMar>
              <w:top w:w="0" w:type="dxa"/>
              <w:bottom w:w="0" w:type="dxa"/>
            </w:tcMar>
            <w:vAlign w:val="center"/>
          </w:tcPr>
          <w:p w14:paraId="1611539F"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proofErr w:type="spellStart"/>
            <w:r>
              <w:rPr>
                <w:rFonts w:ascii="Arial" w:hAnsi="Arial"/>
                <w:sz w:val="20"/>
              </w:rPr>
              <w:t>VietinBank</w:t>
            </w:r>
            <w:proofErr w:type="spellEnd"/>
            <w:r>
              <w:rPr>
                <w:rFonts w:ascii="Arial" w:hAnsi="Arial"/>
                <w:sz w:val="20"/>
              </w:rPr>
              <w:t xml:space="preserve"> Fund Management One Member LLC</w:t>
            </w:r>
          </w:p>
        </w:tc>
        <w:tc>
          <w:tcPr>
            <w:tcW w:w="3179" w:type="dxa"/>
            <w:tcMar>
              <w:top w:w="0" w:type="dxa"/>
              <w:bottom w:w="0" w:type="dxa"/>
            </w:tcMar>
            <w:vAlign w:val="center"/>
          </w:tcPr>
          <w:p w14:paraId="31C1B9A1"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50/UBCK-GP</w:t>
            </w:r>
          </w:p>
        </w:tc>
        <w:tc>
          <w:tcPr>
            <w:tcW w:w="2591" w:type="dxa"/>
            <w:tcMar>
              <w:top w:w="0" w:type="dxa"/>
              <w:bottom w:w="0" w:type="dxa"/>
            </w:tcMar>
            <w:vAlign w:val="center"/>
          </w:tcPr>
          <w:p w14:paraId="6FFB182C"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1,000,000</w:t>
            </w:r>
          </w:p>
        </w:tc>
      </w:tr>
      <w:tr w:rsidR="008D218E" w14:paraId="2F07CF3E" w14:textId="77777777">
        <w:tc>
          <w:tcPr>
            <w:tcW w:w="737" w:type="dxa"/>
            <w:tcMar>
              <w:top w:w="0" w:type="dxa"/>
              <w:bottom w:w="0" w:type="dxa"/>
            </w:tcMar>
            <w:vAlign w:val="center"/>
          </w:tcPr>
          <w:p w14:paraId="0CABE9B1"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3</w:t>
            </w:r>
          </w:p>
        </w:tc>
        <w:tc>
          <w:tcPr>
            <w:tcW w:w="2510" w:type="dxa"/>
            <w:tcMar>
              <w:top w:w="0" w:type="dxa"/>
              <w:bottom w:w="0" w:type="dxa"/>
            </w:tcMar>
            <w:vAlign w:val="center"/>
          </w:tcPr>
          <w:p w14:paraId="3A30D97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Nguyen </w:t>
            </w:r>
            <w:proofErr w:type="spellStart"/>
            <w:r>
              <w:rPr>
                <w:rFonts w:ascii="Arial" w:hAnsi="Arial"/>
                <w:color w:val="000000"/>
                <w:sz w:val="20"/>
              </w:rPr>
              <w:t>Phuc</w:t>
            </w:r>
            <w:proofErr w:type="spellEnd"/>
            <w:r>
              <w:rPr>
                <w:rFonts w:ascii="Arial" w:hAnsi="Arial"/>
                <w:color w:val="000000"/>
                <w:sz w:val="20"/>
              </w:rPr>
              <w:t xml:space="preserve"> </w:t>
            </w:r>
            <w:proofErr w:type="spellStart"/>
            <w:r>
              <w:rPr>
                <w:rFonts w:ascii="Arial" w:hAnsi="Arial"/>
                <w:color w:val="000000"/>
                <w:sz w:val="20"/>
              </w:rPr>
              <w:t>Loi</w:t>
            </w:r>
            <w:proofErr w:type="spellEnd"/>
          </w:p>
        </w:tc>
        <w:tc>
          <w:tcPr>
            <w:tcW w:w="3179" w:type="dxa"/>
            <w:tcMar>
              <w:top w:w="0" w:type="dxa"/>
              <w:bottom w:w="0" w:type="dxa"/>
            </w:tcMar>
            <w:vAlign w:val="center"/>
          </w:tcPr>
          <w:p w14:paraId="7F13332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052087000202</w:t>
            </w:r>
          </w:p>
        </w:tc>
        <w:tc>
          <w:tcPr>
            <w:tcW w:w="2591" w:type="dxa"/>
            <w:tcMar>
              <w:top w:w="0" w:type="dxa"/>
              <w:bottom w:w="0" w:type="dxa"/>
            </w:tcMar>
            <w:vAlign w:val="center"/>
          </w:tcPr>
          <w:p w14:paraId="1E9E03E3"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1500000</w:t>
            </w:r>
          </w:p>
        </w:tc>
      </w:tr>
      <w:tr w:rsidR="008D218E" w14:paraId="44D4CF1E" w14:textId="77777777">
        <w:tc>
          <w:tcPr>
            <w:tcW w:w="6426" w:type="dxa"/>
            <w:gridSpan w:val="3"/>
            <w:tcMar>
              <w:top w:w="0" w:type="dxa"/>
              <w:bottom w:w="0" w:type="dxa"/>
            </w:tcMar>
            <w:vAlign w:val="center"/>
          </w:tcPr>
          <w:p w14:paraId="59A644B4"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Total</w:t>
            </w:r>
          </w:p>
        </w:tc>
        <w:tc>
          <w:tcPr>
            <w:tcW w:w="2591" w:type="dxa"/>
            <w:tcMar>
              <w:top w:w="0" w:type="dxa"/>
              <w:bottom w:w="0" w:type="dxa"/>
            </w:tcMar>
            <w:vAlign w:val="center"/>
          </w:tcPr>
          <w:p w14:paraId="5AA69CA8"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3,500,000</w:t>
            </w:r>
          </w:p>
        </w:tc>
      </w:tr>
    </w:tbl>
    <w:p w14:paraId="331A95EE" w14:textId="42F5B371" w:rsidR="008D218E" w:rsidRDefault="00FD5FE0" w:rsidP="00170FBD">
      <w:pPr>
        <w:numPr>
          <w:ilvl w:val="0"/>
          <w:numId w:val="8"/>
        </w:numPr>
        <w:pBdr>
          <w:top w:val="nil"/>
          <w:left w:val="nil"/>
          <w:bottom w:val="nil"/>
          <w:right w:val="nil"/>
          <w:between w:val="nil"/>
        </w:pBdr>
        <w:tabs>
          <w:tab w:val="left" w:pos="422"/>
        </w:tabs>
        <w:spacing w:after="120" w:line="360" w:lineRule="auto"/>
        <w:jc w:val="both"/>
        <w:rPr>
          <w:rFonts w:ascii="Arial" w:eastAsia="Arial" w:hAnsi="Arial" w:cs="Arial"/>
          <w:color w:val="000000"/>
          <w:sz w:val="20"/>
          <w:szCs w:val="20"/>
        </w:rPr>
      </w:pPr>
      <w:r>
        <w:rPr>
          <w:rFonts w:ascii="Arial" w:hAnsi="Arial"/>
          <w:color w:val="000000"/>
          <w:sz w:val="20"/>
        </w:rPr>
        <w:t xml:space="preserve">Expected </w:t>
      </w:r>
      <w:r w:rsidR="00D30B58">
        <w:rPr>
          <w:rFonts w:ascii="Arial" w:hAnsi="Arial"/>
          <w:color w:val="000000"/>
          <w:sz w:val="20"/>
        </w:rPr>
        <w:t>issue date</w:t>
      </w:r>
      <w:r>
        <w:rPr>
          <w:rFonts w:ascii="Arial" w:hAnsi="Arial"/>
          <w:color w:val="000000"/>
          <w:sz w:val="20"/>
        </w:rPr>
        <w:t xml:space="preserve">: </w:t>
      </w:r>
      <w:r>
        <w:rPr>
          <w:rFonts w:ascii="Arial" w:hAnsi="Arial"/>
          <w:sz w:val="20"/>
        </w:rPr>
        <w:t xml:space="preserve">The </w:t>
      </w:r>
      <w:r w:rsidR="00D30B58">
        <w:rPr>
          <w:rFonts w:ascii="Arial" w:hAnsi="Arial"/>
          <w:sz w:val="20"/>
        </w:rPr>
        <w:t>issue</w:t>
      </w:r>
      <w:r>
        <w:rPr>
          <w:rFonts w:ascii="Arial" w:hAnsi="Arial"/>
          <w:sz w:val="20"/>
        </w:rPr>
        <w:t xml:space="preserve"> is expected to be conducted in 2026. The specific time shall be determined by the Board of Directors after the State Securities Commission issues a document confirming receipt of the Company's complete application for private placement of shares, ensuring compliance with </w:t>
      </w:r>
      <w:r w:rsidR="00D30B58">
        <w:rPr>
          <w:rFonts w:ascii="Arial" w:hAnsi="Arial"/>
          <w:sz w:val="20"/>
        </w:rPr>
        <w:t>applicable laws</w:t>
      </w:r>
      <w:r>
        <w:rPr>
          <w:rFonts w:ascii="Arial" w:hAnsi="Arial"/>
          <w:sz w:val="20"/>
        </w:rPr>
        <w:t xml:space="preserve"> and optimizing the rights of the Company's shareholders.</w:t>
      </w:r>
    </w:p>
    <w:p w14:paraId="1DF691BF" w14:textId="77777777" w:rsidR="008D218E" w:rsidRDefault="00FD5FE0" w:rsidP="00170FBD">
      <w:pPr>
        <w:numPr>
          <w:ilvl w:val="0"/>
          <w:numId w:val="8"/>
        </w:numPr>
        <w:pBdr>
          <w:top w:val="nil"/>
          <w:left w:val="nil"/>
          <w:bottom w:val="nil"/>
          <w:right w:val="nil"/>
          <w:between w:val="nil"/>
        </w:pBdr>
        <w:tabs>
          <w:tab w:val="left" w:pos="426"/>
        </w:tabs>
        <w:spacing w:after="120" w:line="360" w:lineRule="auto"/>
        <w:jc w:val="both"/>
        <w:rPr>
          <w:rFonts w:ascii="Arial" w:eastAsia="Arial" w:hAnsi="Arial" w:cs="Arial"/>
          <w:color w:val="000000"/>
          <w:sz w:val="20"/>
          <w:szCs w:val="20"/>
        </w:rPr>
      </w:pPr>
      <w:r>
        <w:rPr>
          <w:rFonts w:ascii="Arial" w:hAnsi="Arial"/>
          <w:color w:val="000000"/>
          <w:sz w:val="20"/>
        </w:rPr>
        <w:t xml:space="preserve">Transfer restriction: </w:t>
      </w:r>
      <w:r>
        <w:rPr>
          <w:rFonts w:ascii="Arial" w:hAnsi="Arial"/>
          <w:sz w:val="20"/>
        </w:rPr>
        <w:t>Shares issued under the private placement to professional investors shall be subject to a one-year transfer restriction from the completion date of the offering.</w:t>
      </w:r>
    </w:p>
    <w:p w14:paraId="17420E67" w14:textId="53CA9A01" w:rsidR="008D218E" w:rsidRDefault="00FD5FE0" w:rsidP="00170FBD">
      <w:pPr>
        <w:numPr>
          <w:ilvl w:val="0"/>
          <w:numId w:val="8"/>
        </w:numPr>
        <w:pBdr>
          <w:top w:val="nil"/>
          <w:left w:val="nil"/>
          <w:bottom w:val="nil"/>
          <w:right w:val="nil"/>
          <w:between w:val="nil"/>
        </w:pBdr>
        <w:tabs>
          <w:tab w:val="left" w:pos="426"/>
        </w:tabs>
        <w:spacing w:after="120" w:line="360" w:lineRule="auto"/>
        <w:jc w:val="both"/>
        <w:rPr>
          <w:rFonts w:ascii="Arial" w:eastAsia="Arial" w:hAnsi="Arial" w:cs="Arial"/>
          <w:color w:val="000000"/>
          <w:sz w:val="20"/>
          <w:szCs w:val="20"/>
        </w:rPr>
      </w:pPr>
      <w:r>
        <w:rPr>
          <w:rFonts w:ascii="Arial" w:hAnsi="Arial"/>
          <w:color w:val="000000"/>
          <w:sz w:val="20"/>
        </w:rPr>
        <w:t xml:space="preserve">Depository registration and additional listing registration: </w:t>
      </w:r>
      <w:r>
        <w:rPr>
          <w:rFonts w:ascii="Arial" w:hAnsi="Arial"/>
          <w:sz w:val="20"/>
        </w:rPr>
        <w:t xml:space="preserve">The newly issued shares shall be registered with the Vietnam Securities Depository and Clearing Corporation and registered for additional trading on the Hanoi Stock Exchange after completion of the private placement </w:t>
      </w:r>
      <w:r w:rsidR="00D30B58">
        <w:rPr>
          <w:rFonts w:ascii="Arial" w:hAnsi="Arial"/>
          <w:sz w:val="20"/>
        </w:rPr>
        <w:t>as per</w:t>
      </w:r>
      <w:r>
        <w:rPr>
          <w:rFonts w:ascii="Arial" w:hAnsi="Arial"/>
          <w:sz w:val="20"/>
        </w:rPr>
        <w:t xml:space="preserve"> applicable regulations.</w:t>
      </w:r>
    </w:p>
    <w:p w14:paraId="5C2F39DE" w14:textId="63B0474B" w:rsidR="008D218E" w:rsidRDefault="00FD5FE0" w:rsidP="00170FBD">
      <w:pPr>
        <w:numPr>
          <w:ilvl w:val="0"/>
          <w:numId w:val="8"/>
        </w:numPr>
        <w:pBdr>
          <w:top w:val="nil"/>
          <w:left w:val="nil"/>
          <w:bottom w:val="nil"/>
          <w:right w:val="nil"/>
          <w:between w:val="nil"/>
        </w:pBdr>
        <w:tabs>
          <w:tab w:val="left" w:pos="426"/>
        </w:tabs>
        <w:spacing w:after="120" w:line="360" w:lineRule="auto"/>
        <w:jc w:val="both"/>
        <w:rPr>
          <w:rFonts w:ascii="Arial" w:eastAsia="Arial" w:hAnsi="Arial" w:cs="Arial"/>
          <w:color w:val="000000"/>
          <w:sz w:val="20"/>
          <w:szCs w:val="20"/>
        </w:rPr>
      </w:pPr>
      <w:r>
        <w:rPr>
          <w:rFonts w:ascii="Arial" w:hAnsi="Arial"/>
          <w:sz w:val="20"/>
        </w:rPr>
        <w:t>Ensuring the maximum foreig</w:t>
      </w:r>
      <w:r w:rsidR="00D30B58">
        <w:rPr>
          <w:rFonts w:ascii="Arial" w:hAnsi="Arial"/>
          <w:sz w:val="20"/>
        </w:rPr>
        <w:t>n ownership ratio in the issu</w:t>
      </w:r>
      <w:r>
        <w:rPr>
          <w:rFonts w:ascii="Arial" w:hAnsi="Arial"/>
          <w:sz w:val="20"/>
        </w:rPr>
        <w:t>e:</w:t>
      </w:r>
      <w:r>
        <w:rPr>
          <w:rFonts w:ascii="Arial" w:hAnsi="Arial"/>
          <w:color w:val="000000"/>
          <w:sz w:val="20"/>
        </w:rPr>
        <w:t xml:space="preserve"> </w:t>
      </w:r>
      <w:r>
        <w:rPr>
          <w:rFonts w:ascii="Arial" w:hAnsi="Arial"/>
          <w:sz w:val="20"/>
        </w:rPr>
        <w:t xml:space="preserve">The criteria for selecting investors for this </w:t>
      </w:r>
      <w:r w:rsidR="00D30B58">
        <w:rPr>
          <w:rFonts w:ascii="Arial" w:hAnsi="Arial"/>
          <w:sz w:val="20"/>
        </w:rPr>
        <w:t>issue</w:t>
      </w:r>
      <w:r>
        <w:rPr>
          <w:rFonts w:ascii="Arial" w:hAnsi="Arial"/>
          <w:sz w:val="20"/>
        </w:rPr>
        <w:t xml:space="preserve"> are domestic professional investors, therefore the </w:t>
      </w:r>
      <w:r w:rsidR="00D30B58">
        <w:rPr>
          <w:rFonts w:ascii="Arial" w:hAnsi="Arial"/>
          <w:sz w:val="20"/>
        </w:rPr>
        <w:t>issue</w:t>
      </w:r>
      <w:r>
        <w:rPr>
          <w:rFonts w:ascii="Arial" w:hAnsi="Arial"/>
          <w:sz w:val="20"/>
        </w:rPr>
        <w:t xml:space="preserve"> ensures the maximum foreign ownership ratio as stipulated by law</w:t>
      </w:r>
      <w:r w:rsidR="00D30B58">
        <w:rPr>
          <w:rFonts w:ascii="Arial" w:hAnsi="Arial"/>
          <w:sz w:val="20"/>
        </w:rPr>
        <w:t>s</w:t>
      </w:r>
      <w:r>
        <w:rPr>
          <w:rFonts w:ascii="Arial" w:hAnsi="Arial"/>
          <w:sz w:val="20"/>
        </w:rPr>
        <w:t>.</w:t>
      </w:r>
    </w:p>
    <w:p w14:paraId="1ACBD92F" w14:textId="77777777" w:rsidR="008D218E" w:rsidRDefault="00FD5FE0" w:rsidP="00170FBD">
      <w:pPr>
        <w:numPr>
          <w:ilvl w:val="0"/>
          <w:numId w:val="9"/>
        </w:numPr>
        <w:pBdr>
          <w:top w:val="nil"/>
          <w:left w:val="nil"/>
          <w:bottom w:val="nil"/>
          <w:right w:val="nil"/>
          <w:between w:val="nil"/>
        </w:pBdr>
        <w:tabs>
          <w:tab w:val="left" w:pos="471"/>
        </w:tabs>
        <w:spacing w:after="120" w:line="360" w:lineRule="auto"/>
        <w:jc w:val="both"/>
        <w:rPr>
          <w:rFonts w:ascii="Arial" w:eastAsia="Arial" w:hAnsi="Arial" w:cs="Arial"/>
          <w:color w:val="000000"/>
          <w:sz w:val="20"/>
          <w:szCs w:val="20"/>
        </w:rPr>
      </w:pPr>
      <w:r>
        <w:rPr>
          <w:rFonts w:ascii="Arial" w:hAnsi="Arial"/>
          <w:color w:val="000000"/>
          <w:sz w:val="20"/>
        </w:rPr>
        <w:t>Plan to handle unsold shares</w:t>
      </w:r>
    </w:p>
    <w:p w14:paraId="1957AA42" w14:textId="77CD6EDD" w:rsidR="008D218E" w:rsidRDefault="00FD5FE0" w:rsidP="00170FBD">
      <w:pPr>
        <w:numPr>
          <w:ilvl w:val="0"/>
          <w:numId w:val="1"/>
        </w:numPr>
        <w:pBdr>
          <w:top w:val="nil"/>
          <w:left w:val="nil"/>
          <w:bottom w:val="nil"/>
          <w:right w:val="nil"/>
          <w:between w:val="nil"/>
        </w:pBdr>
        <w:tabs>
          <w:tab w:val="left" w:pos="722"/>
        </w:tabs>
        <w:spacing w:after="120" w:line="360" w:lineRule="auto"/>
        <w:jc w:val="both"/>
        <w:rPr>
          <w:rFonts w:ascii="Arial" w:eastAsia="Arial" w:hAnsi="Arial" w:cs="Arial"/>
          <w:color w:val="000000"/>
          <w:sz w:val="20"/>
          <w:szCs w:val="20"/>
        </w:rPr>
      </w:pPr>
      <w:r>
        <w:rPr>
          <w:rFonts w:ascii="Arial" w:hAnsi="Arial"/>
          <w:sz w:val="20"/>
        </w:rPr>
        <w:t xml:space="preserve">The remaining shares that were not fully distributed due to investors refusing their right to purchase, the Board of Directors is authorized to offer for sale to other parties (those eligible for the </w:t>
      </w:r>
      <w:r w:rsidR="00D30B58">
        <w:rPr>
          <w:rFonts w:ascii="Arial" w:hAnsi="Arial"/>
          <w:sz w:val="20"/>
        </w:rPr>
        <w:t>issue</w:t>
      </w:r>
      <w:r>
        <w:rPr>
          <w:rFonts w:ascii="Arial" w:hAnsi="Arial"/>
          <w:sz w:val="20"/>
        </w:rPr>
        <w:t xml:space="preserve"> and meeting the investor selection criteria in this </w:t>
      </w:r>
      <w:r w:rsidR="00D30B58">
        <w:rPr>
          <w:rFonts w:ascii="Arial" w:hAnsi="Arial"/>
          <w:sz w:val="20"/>
        </w:rPr>
        <w:t>issue</w:t>
      </w:r>
      <w:r>
        <w:rPr>
          <w:rFonts w:ascii="Arial" w:hAnsi="Arial"/>
          <w:sz w:val="20"/>
        </w:rPr>
        <w:t xml:space="preserve"> plan, at an </w:t>
      </w:r>
      <w:r w:rsidR="00D30B58">
        <w:rPr>
          <w:rFonts w:ascii="Arial" w:hAnsi="Arial"/>
          <w:sz w:val="20"/>
        </w:rPr>
        <w:t>issue</w:t>
      </w:r>
      <w:r>
        <w:rPr>
          <w:rFonts w:ascii="Arial" w:hAnsi="Arial"/>
          <w:sz w:val="20"/>
        </w:rPr>
        <w:t xml:space="preserve"> price no lower than the initial </w:t>
      </w:r>
      <w:r w:rsidR="00D30B58">
        <w:rPr>
          <w:rFonts w:ascii="Arial" w:hAnsi="Arial"/>
          <w:sz w:val="20"/>
        </w:rPr>
        <w:t>issue</w:t>
      </w:r>
      <w:r>
        <w:rPr>
          <w:rFonts w:ascii="Arial" w:hAnsi="Arial"/>
          <w:sz w:val="20"/>
        </w:rPr>
        <w:t xml:space="preserve"> price) by the General Meeting of Shareholders.</w:t>
      </w:r>
    </w:p>
    <w:p w14:paraId="532B52B5" w14:textId="77777777" w:rsidR="008D218E" w:rsidRDefault="00FD5FE0" w:rsidP="00170FBD">
      <w:pPr>
        <w:numPr>
          <w:ilvl w:val="0"/>
          <w:numId w:val="1"/>
        </w:numPr>
        <w:pBdr>
          <w:top w:val="nil"/>
          <w:left w:val="nil"/>
          <w:bottom w:val="nil"/>
          <w:right w:val="nil"/>
          <w:between w:val="nil"/>
        </w:pBdr>
        <w:tabs>
          <w:tab w:val="left" w:pos="722"/>
        </w:tabs>
        <w:spacing w:after="120" w:line="360" w:lineRule="auto"/>
        <w:jc w:val="both"/>
        <w:rPr>
          <w:rFonts w:ascii="Arial" w:eastAsia="Arial" w:hAnsi="Arial" w:cs="Arial"/>
          <w:color w:val="000000"/>
          <w:sz w:val="20"/>
          <w:szCs w:val="20"/>
        </w:rPr>
      </w:pPr>
      <w:r>
        <w:rPr>
          <w:rFonts w:ascii="Arial" w:hAnsi="Arial"/>
          <w:sz w:val="20"/>
        </w:rPr>
        <w:t>If the additional offering remains unsuccessful, the Board of Directors shall cancel the unsubscribed shares and officially close the offering.</w:t>
      </w:r>
    </w:p>
    <w:p w14:paraId="4010D474" w14:textId="7CABFF01" w:rsidR="008D218E" w:rsidRDefault="00FD5FE0" w:rsidP="00170FBD">
      <w:pPr>
        <w:numPr>
          <w:ilvl w:val="0"/>
          <w:numId w:val="2"/>
        </w:numPr>
        <w:pBdr>
          <w:top w:val="nil"/>
          <w:left w:val="nil"/>
          <w:bottom w:val="nil"/>
          <w:right w:val="nil"/>
          <w:between w:val="nil"/>
        </w:pBdr>
        <w:tabs>
          <w:tab w:val="left" w:pos="475"/>
        </w:tabs>
        <w:spacing w:after="120" w:line="360" w:lineRule="auto"/>
        <w:jc w:val="both"/>
        <w:rPr>
          <w:rFonts w:ascii="Arial" w:eastAsia="Arial" w:hAnsi="Arial" w:cs="Arial"/>
          <w:color w:val="000000"/>
          <w:sz w:val="20"/>
          <w:szCs w:val="20"/>
        </w:rPr>
      </w:pPr>
      <w:r>
        <w:rPr>
          <w:rFonts w:ascii="Arial" w:hAnsi="Arial"/>
          <w:color w:val="000000"/>
          <w:sz w:val="20"/>
        </w:rPr>
        <w:t xml:space="preserve">Commitment to not violating cross-ownership regulations: </w:t>
      </w:r>
      <w:r>
        <w:rPr>
          <w:rFonts w:ascii="Arial" w:hAnsi="Arial"/>
          <w:sz w:val="20"/>
        </w:rPr>
        <w:t>The private placement of shares by the Company to the aforementioned professional securities investors ensures that it does not violate cross-ownership regulations as stipulated in Article 195 of the Law on Enterprise</w:t>
      </w:r>
      <w:r w:rsidR="00D30B58">
        <w:rPr>
          <w:rFonts w:ascii="Arial" w:hAnsi="Arial"/>
          <w:sz w:val="20"/>
        </w:rPr>
        <w:t>s</w:t>
      </w:r>
      <w:bookmarkStart w:id="1" w:name="_GoBack"/>
      <w:bookmarkEnd w:id="1"/>
      <w:r>
        <w:rPr>
          <w:rFonts w:ascii="Arial" w:hAnsi="Arial"/>
          <w:sz w:val="20"/>
        </w:rPr>
        <w:t xml:space="preserve"> and Article 12 of Decree 47/2021/ND-CP.</w:t>
      </w:r>
    </w:p>
    <w:p w14:paraId="60B332C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III. </w:t>
      </w:r>
      <w:r>
        <w:rPr>
          <w:rFonts w:ascii="Arial" w:hAnsi="Arial"/>
          <w:sz w:val="20"/>
        </w:rPr>
        <w:t>Plan for using the proceeds from the private placement</w:t>
      </w:r>
    </w:p>
    <w:p w14:paraId="55B0689E" w14:textId="77777777" w:rsidR="008D218E" w:rsidRDefault="00FD5FE0" w:rsidP="00170FBD">
      <w:pPr>
        <w:numPr>
          <w:ilvl w:val="0"/>
          <w:numId w:val="1"/>
        </w:numPr>
        <w:pBdr>
          <w:top w:val="nil"/>
          <w:left w:val="nil"/>
          <w:bottom w:val="nil"/>
          <w:right w:val="nil"/>
          <w:between w:val="nil"/>
        </w:pBdr>
        <w:tabs>
          <w:tab w:val="left" w:pos="341"/>
        </w:tabs>
        <w:spacing w:after="120" w:line="360" w:lineRule="auto"/>
        <w:jc w:val="both"/>
        <w:rPr>
          <w:rFonts w:ascii="Arial" w:eastAsia="Arial" w:hAnsi="Arial" w:cs="Arial"/>
          <w:color w:val="000000"/>
          <w:sz w:val="20"/>
          <w:szCs w:val="20"/>
        </w:rPr>
      </w:pPr>
      <w:r>
        <w:rPr>
          <w:rFonts w:ascii="Arial" w:hAnsi="Arial"/>
          <w:color w:val="000000"/>
          <w:sz w:val="20"/>
        </w:rPr>
        <w:t>Total expected proceeds from the private placement: VND35,000,000,000.</w:t>
      </w:r>
    </w:p>
    <w:p w14:paraId="6BAA4B30" w14:textId="1DFE665E" w:rsidR="008D218E" w:rsidRDefault="00FD5FE0" w:rsidP="00170FBD">
      <w:pPr>
        <w:numPr>
          <w:ilvl w:val="0"/>
          <w:numId w:val="1"/>
        </w:numPr>
        <w:pBdr>
          <w:top w:val="nil"/>
          <w:left w:val="nil"/>
          <w:bottom w:val="nil"/>
          <w:right w:val="nil"/>
          <w:between w:val="nil"/>
        </w:pBdr>
        <w:tabs>
          <w:tab w:val="left" w:pos="341"/>
        </w:tabs>
        <w:spacing w:after="120" w:line="360" w:lineRule="auto"/>
        <w:jc w:val="both"/>
        <w:rPr>
          <w:rFonts w:ascii="Arial" w:eastAsia="Arial" w:hAnsi="Arial" w:cs="Arial"/>
          <w:color w:val="000000"/>
          <w:sz w:val="20"/>
          <w:szCs w:val="20"/>
        </w:rPr>
      </w:pPr>
      <w:r>
        <w:rPr>
          <w:rFonts w:ascii="Arial" w:hAnsi="Arial"/>
          <w:color w:val="000000"/>
          <w:sz w:val="20"/>
        </w:rPr>
        <w:lastRenderedPageBreak/>
        <w:t xml:space="preserve">Expected plan on using the proceeds from the </w:t>
      </w:r>
      <w:r w:rsidR="00D30B58">
        <w:rPr>
          <w:rFonts w:ascii="Arial" w:hAnsi="Arial"/>
          <w:color w:val="000000"/>
          <w:sz w:val="20"/>
        </w:rPr>
        <w:t>issue</w:t>
      </w:r>
      <w:r>
        <w:rPr>
          <w:rFonts w:ascii="Arial" w:hAnsi="Arial"/>
          <w:color w:val="000000"/>
          <w:sz w:val="20"/>
        </w:rPr>
        <w:t xml:space="preserve"> is as follows:</w:t>
      </w:r>
    </w:p>
    <w:tbl>
      <w:tblPr>
        <w:tblStyle w:val="a2"/>
        <w:tblW w:w="90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84"/>
        <w:gridCol w:w="2348"/>
        <w:gridCol w:w="2085"/>
      </w:tblGrid>
      <w:tr w:rsidR="008D218E" w14:paraId="6475FC71" w14:textId="77777777">
        <w:tc>
          <w:tcPr>
            <w:tcW w:w="4584" w:type="dxa"/>
            <w:tcMar>
              <w:top w:w="0" w:type="dxa"/>
              <w:bottom w:w="0" w:type="dxa"/>
            </w:tcMar>
            <w:vAlign w:val="center"/>
          </w:tcPr>
          <w:p w14:paraId="7F136FD0"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Purpose of using capital</w:t>
            </w:r>
          </w:p>
        </w:tc>
        <w:tc>
          <w:tcPr>
            <w:tcW w:w="2348" w:type="dxa"/>
            <w:tcMar>
              <w:top w:w="0" w:type="dxa"/>
              <w:bottom w:w="0" w:type="dxa"/>
            </w:tcMar>
            <w:vAlign w:val="center"/>
          </w:tcPr>
          <w:p w14:paraId="27B576AD"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Expected Amount to be used</w:t>
            </w:r>
          </w:p>
        </w:tc>
        <w:tc>
          <w:tcPr>
            <w:tcW w:w="2085" w:type="dxa"/>
            <w:tcMar>
              <w:top w:w="0" w:type="dxa"/>
              <w:bottom w:w="0" w:type="dxa"/>
            </w:tcMar>
            <w:vAlign w:val="center"/>
          </w:tcPr>
          <w:p w14:paraId="779684E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Expected implementation time</w:t>
            </w:r>
          </w:p>
        </w:tc>
      </w:tr>
      <w:tr w:rsidR="008D218E" w14:paraId="719D7C04" w14:textId="77777777">
        <w:tc>
          <w:tcPr>
            <w:tcW w:w="4584" w:type="dxa"/>
            <w:tcMar>
              <w:top w:w="0" w:type="dxa"/>
              <w:bottom w:w="0" w:type="dxa"/>
            </w:tcMar>
            <w:vAlign w:val="center"/>
          </w:tcPr>
          <w:p w14:paraId="1D626993"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Payment for raw material purchases from Asia Raw Materials Joint Stock Company</w:t>
            </w:r>
          </w:p>
        </w:tc>
        <w:tc>
          <w:tcPr>
            <w:tcW w:w="2348" w:type="dxa"/>
            <w:tcMar>
              <w:top w:w="0" w:type="dxa"/>
              <w:bottom w:w="0" w:type="dxa"/>
            </w:tcMar>
            <w:vAlign w:val="center"/>
          </w:tcPr>
          <w:p w14:paraId="6378DCCE"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25,000,000,000</w:t>
            </w:r>
          </w:p>
        </w:tc>
        <w:tc>
          <w:tcPr>
            <w:tcW w:w="2085" w:type="dxa"/>
            <w:tcMar>
              <w:top w:w="0" w:type="dxa"/>
              <w:bottom w:w="0" w:type="dxa"/>
            </w:tcMar>
            <w:vAlign w:val="center"/>
          </w:tcPr>
          <w:p w14:paraId="2EBBB1B7"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2026</w:t>
            </w:r>
          </w:p>
        </w:tc>
      </w:tr>
      <w:tr w:rsidR="008D218E" w14:paraId="6C6058EC" w14:textId="77777777">
        <w:tc>
          <w:tcPr>
            <w:tcW w:w="4584" w:type="dxa"/>
            <w:tcMar>
              <w:top w:w="0" w:type="dxa"/>
              <w:bottom w:w="0" w:type="dxa"/>
            </w:tcMar>
            <w:vAlign w:val="center"/>
          </w:tcPr>
          <w:p w14:paraId="41AB8AAE"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Supplementing working capital, including warehouse and office rental expenses, employee salaries, outsourced processing contracts, and investment in management software and information technology systems, etc.</w:t>
            </w:r>
          </w:p>
        </w:tc>
        <w:tc>
          <w:tcPr>
            <w:tcW w:w="2348" w:type="dxa"/>
            <w:tcMar>
              <w:top w:w="0" w:type="dxa"/>
              <w:bottom w:w="0" w:type="dxa"/>
            </w:tcMar>
            <w:vAlign w:val="center"/>
          </w:tcPr>
          <w:p w14:paraId="6CF41E55"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10,000,000,000</w:t>
            </w:r>
          </w:p>
        </w:tc>
        <w:tc>
          <w:tcPr>
            <w:tcW w:w="2085" w:type="dxa"/>
            <w:tcMar>
              <w:top w:w="0" w:type="dxa"/>
              <w:bottom w:w="0" w:type="dxa"/>
            </w:tcMar>
            <w:vAlign w:val="center"/>
          </w:tcPr>
          <w:p w14:paraId="6C3C9D02"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2026</w:t>
            </w:r>
          </w:p>
        </w:tc>
      </w:tr>
      <w:tr w:rsidR="008D218E" w14:paraId="5D0198DB" w14:textId="77777777">
        <w:tc>
          <w:tcPr>
            <w:tcW w:w="4584" w:type="dxa"/>
            <w:tcMar>
              <w:top w:w="0" w:type="dxa"/>
              <w:bottom w:w="0" w:type="dxa"/>
            </w:tcMar>
            <w:vAlign w:val="center"/>
          </w:tcPr>
          <w:p w14:paraId="4740580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Total</w:t>
            </w:r>
          </w:p>
        </w:tc>
        <w:tc>
          <w:tcPr>
            <w:tcW w:w="2348" w:type="dxa"/>
            <w:tcMar>
              <w:top w:w="0" w:type="dxa"/>
              <w:bottom w:w="0" w:type="dxa"/>
            </w:tcMar>
            <w:vAlign w:val="center"/>
          </w:tcPr>
          <w:p w14:paraId="0A7E2651"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35,000,000,000</w:t>
            </w:r>
          </w:p>
        </w:tc>
        <w:tc>
          <w:tcPr>
            <w:tcW w:w="2085" w:type="dxa"/>
            <w:tcMar>
              <w:top w:w="0" w:type="dxa"/>
              <w:bottom w:w="0" w:type="dxa"/>
            </w:tcMar>
            <w:vAlign w:val="center"/>
          </w:tcPr>
          <w:p w14:paraId="2490AB1F" w14:textId="77777777" w:rsidR="008D218E" w:rsidRDefault="008D218E" w:rsidP="00170FBD">
            <w:pPr>
              <w:pBdr>
                <w:top w:val="nil"/>
                <w:left w:val="nil"/>
                <w:bottom w:val="nil"/>
                <w:right w:val="nil"/>
                <w:between w:val="nil"/>
              </w:pBdr>
              <w:spacing w:after="120" w:line="360" w:lineRule="auto"/>
              <w:jc w:val="both"/>
              <w:rPr>
                <w:rFonts w:ascii="Arial" w:eastAsia="Arial" w:hAnsi="Arial" w:cs="Arial"/>
                <w:color w:val="000000"/>
                <w:sz w:val="20"/>
                <w:szCs w:val="20"/>
              </w:rPr>
            </w:pPr>
          </w:p>
        </w:tc>
      </w:tr>
    </w:tbl>
    <w:p w14:paraId="2151E62C" w14:textId="77777777" w:rsidR="008D218E" w:rsidRDefault="008D218E" w:rsidP="00170FBD">
      <w:pPr>
        <w:spacing w:after="120" w:line="360" w:lineRule="auto"/>
        <w:jc w:val="both"/>
        <w:rPr>
          <w:rFonts w:ascii="Arial" w:eastAsia="Arial" w:hAnsi="Arial" w:cs="Arial"/>
          <w:color w:val="000000"/>
          <w:sz w:val="20"/>
          <w:szCs w:val="20"/>
        </w:rPr>
      </w:pPr>
    </w:p>
    <w:p w14:paraId="5DF7ECF1" w14:textId="77777777" w:rsidR="008D218E" w:rsidRDefault="00FD5FE0" w:rsidP="00170FBD">
      <w:pPr>
        <w:numPr>
          <w:ilvl w:val="0"/>
          <w:numId w:val="1"/>
        </w:numPr>
        <w:pBdr>
          <w:top w:val="nil"/>
          <w:left w:val="nil"/>
          <w:bottom w:val="nil"/>
          <w:right w:val="nil"/>
          <w:between w:val="nil"/>
        </w:pBdr>
        <w:tabs>
          <w:tab w:val="left" w:pos="341"/>
        </w:tabs>
        <w:spacing w:after="120" w:line="360" w:lineRule="auto"/>
        <w:jc w:val="both"/>
        <w:rPr>
          <w:rFonts w:ascii="Arial" w:eastAsia="Arial" w:hAnsi="Arial" w:cs="Arial"/>
          <w:color w:val="000000"/>
          <w:sz w:val="20"/>
          <w:szCs w:val="20"/>
        </w:rPr>
      </w:pPr>
      <w:r>
        <w:rPr>
          <w:rFonts w:ascii="Arial" w:hAnsi="Arial"/>
          <w:sz w:val="20"/>
        </w:rPr>
        <w:t>In case the offering is not fully subscribed and the amount raised is lower than expected, the Board of Directors shall use other funding sources in compliance with legal requirements.</w:t>
      </w:r>
    </w:p>
    <w:p w14:paraId="2587F419" w14:textId="0BB9BF77" w:rsidR="008D218E" w:rsidRPr="00B733F4" w:rsidRDefault="00FD5FE0" w:rsidP="00170FBD">
      <w:pPr>
        <w:numPr>
          <w:ilvl w:val="0"/>
          <w:numId w:val="1"/>
        </w:numPr>
        <w:pBdr>
          <w:top w:val="nil"/>
          <w:left w:val="nil"/>
          <w:bottom w:val="nil"/>
          <w:right w:val="nil"/>
          <w:between w:val="nil"/>
        </w:pBdr>
        <w:tabs>
          <w:tab w:val="left" w:pos="341"/>
        </w:tabs>
        <w:spacing w:after="120" w:line="360" w:lineRule="auto"/>
        <w:jc w:val="both"/>
        <w:rPr>
          <w:rFonts w:ascii="Arial" w:eastAsia="Arial" w:hAnsi="Arial" w:cs="Arial"/>
          <w:color w:val="000000"/>
          <w:sz w:val="20"/>
          <w:szCs w:val="20"/>
        </w:rPr>
      </w:pPr>
      <w:r>
        <w:rPr>
          <w:rFonts w:ascii="Arial" w:hAnsi="Arial"/>
          <w:sz w:val="20"/>
        </w:rPr>
        <w:t>The General Meeting of Shareholders authorizes the Board of Directors to allocate proceeds based on the actual offering results and to amend, supplement, or adjust the capital utilization plan in accordance with the Company's actual business conditions and shareholders' interests.</w:t>
      </w:r>
      <w:r>
        <w:rPr>
          <w:rFonts w:ascii="Arial" w:hAnsi="Arial"/>
          <w:color w:val="000000"/>
          <w:sz w:val="20"/>
        </w:rPr>
        <w:t xml:space="preserve"> </w:t>
      </w:r>
      <w:r>
        <w:rPr>
          <w:rFonts w:ascii="Arial" w:hAnsi="Arial"/>
          <w:sz w:val="20"/>
        </w:rPr>
        <w:t>Changes to the plan on using capital, the proceeds from the offering, must be in accordance with relevant provisions of law and ensure the interests of shareholders.</w:t>
      </w:r>
    </w:p>
    <w:p w14:paraId="6BAC1F9F"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Article 11: Approve Proposal No. 11/2026/LMC/TTR of the Board of Directors on the amendments to the Company's business lines.</w:t>
      </w:r>
    </w:p>
    <w:p w14:paraId="45460DF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12: </w:t>
      </w:r>
      <w:r>
        <w:rPr>
          <w:rFonts w:ascii="Arial" w:hAnsi="Arial"/>
          <w:sz w:val="20"/>
        </w:rPr>
        <w:t>Approve Proposal No. 12/2026/LMC/TTR-001 of the Board of Directors on the changes to the Company's organizational and management model.</w:t>
      </w:r>
    </w:p>
    <w:p w14:paraId="2B92E2FF"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Article 13: Approve Proposal No. 13/2026/LMC/TTR-001 of the Board of Directors on the approval of the dismissal of a member of the Supervisory Board.</w:t>
      </w:r>
    </w:p>
    <w:p w14:paraId="3D1B2CCD"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14: </w:t>
      </w:r>
      <w:r>
        <w:rPr>
          <w:rFonts w:ascii="Arial" w:hAnsi="Arial"/>
          <w:sz w:val="20"/>
        </w:rPr>
        <w:t>Approve Proposal No. 14/2026/LMC/TTR of the Board of Directors on the dismissal and election of additional members of the Board of Directors for the 2026–2031 term.</w:t>
      </w:r>
    </w:p>
    <w:p w14:paraId="569277FB"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Article 15: Approve Proposal No. 15/2026/LMC/TTR-001 of the Board of Directors on the amendments and supplements to the Company's Charter.</w:t>
      </w:r>
    </w:p>
    <w:p w14:paraId="4C11CB46"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16: </w:t>
      </w:r>
      <w:r>
        <w:rPr>
          <w:rFonts w:ascii="Arial" w:hAnsi="Arial"/>
          <w:sz w:val="20"/>
        </w:rPr>
        <w:t>Approve Proposal No. 16/2026/LMC/TTR-001 of the Board of Directors on the change of the Company's name and head office address.</w:t>
      </w:r>
    </w:p>
    <w:p w14:paraId="61B01644"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Article 17: </w:t>
      </w:r>
      <w:r>
        <w:rPr>
          <w:rFonts w:ascii="Arial" w:hAnsi="Arial"/>
          <w:sz w:val="20"/>
        </w:rPr>
        <w:t>Approve the election results for Board of Directors members for the 2026 - 2031 term</w:t>
      </w:r>
    </w:p>
    <w:tbl>
      <w:tblPr>
        <w:tblStyle w:val="a3"/>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11"/>
        <w:gridCol w:w="7706"/>
      </w:tblGrid>
      <w:tr w:rsidR="00B733F4" w14:paraId="45A14CBF" w14:textId="77777777" w:rsidTr="00B733F4">
        <w:tc>
          <w:tcPr>
            <w:tcW w:w="727" w:type="pct"/>
            <w:tcMar>
              <w:top w:w="0" w:type="dxa"/>
              <w:bottom w:w="0" w:type="dxa"/>
            </w:tcMar>
            <w:vAlign w:val="center"/>
          </w:tcPr>
          <w:p w14:paraId="3B5326BD"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No.</w:t>
            </w:r>
          </w:p>
        </w:tc>
        <w:tc>
          <w:tcPr>
            <w:tcW w:w="4273" w:type="pct"/>
            <w:tcMar>
              <w:top w:w="0" w:type="dxa"/>
              <w:bottom w:w="0" w:type="dxa"/>
            </w:tcMar>
            <w:vAlign w:val="center"/>
          </w:tcPr>
          <w:p w14:paraId="0001FA0E"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Full name</w:t>
            </w:r>
          </w:p>
        </w:tc>
      </w:tr>
      <w:tr w:rsidR="00B733F4" w14:paraId="70DE45E7" w14:textId="77777777" w:rsidTr="00B733F4">
        <w:tc>
          <w:tcPr>
            <w:tcW w:w="727" w:type="pct"/>
            <w:tcMar>
              <w:top w:w="0" w:type="dxa"/>
              <w:bottom w:w="0" w:type="dxa"/>
            </w:tcMar>
            <w:vAlign w:val="center"/>
          </w:tcPr>
          <w:p w14:paraId="580A0D0F"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w:t>
            </w:r>
          </w:p>
        </w:tc>
        <w:tc>
          <w:tcPr>
            <w:tcW w:w="4273" w:type="pct"/>
            <w:tcMar>
              <w:top w:w="0" w:type="dxa"/>
              <w:bottom w:w="0" w:type="dxa"/>
            </w:tcMar>
            <w:vAlign w:val="center"/>
          </w:tcPr>
          <w:p w14:paraId="14A3D1D7"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 xml:space="preserve">Nguyen </w:t>
            </w:r>
            <w:proofErr w:type="spellStart"/>
            <w:r>
              <w:rPr>
                <w:rFonts w:ascii="Arial" w:hAnsi="Arial"/>
                <w:color w:val="000000"/>
                <w:sz w:val="20"/>
              </w:rPr>
              <w:t>Phuc</w:t>
            </w:r>
            <w:proofErr w:type="spellEnd"/>
            <w:r>
              <w:rPr>
                <w:rFonts w:ascii="Arial" w:hAnsi="Arial"/>
                <w:color w:val="000000"/>
                <w:sz w:val="20"/>
              </w:rPr>
              <w:t xml:space="preserve"> </w:t>
            </w:r>
            <w:proofErr w:type="spellStart"/>
            <w:r>
              <w:rPr>
                <w:rFonts w:ascii="Arial" w:hAnsi="Arial"/>
                <w:color w:val="000000"/>
                <w:sz w:val="20"/>
              </w:rPr>
              <w:t>Loi</w:t>
            </w:r>
            <w:proofErr w:type="spellEnd"/>
          </w:p>
        </w:tc>
      </w:tr>
      <w:tr w:rsidR="00B733F4" w14:paraId="710BF57C" w14:textId="77777777" w:rsidTr="00B733F4">
        <w:tc>
          <w:tcPr>
            <w:tcW w:w="727" w:type="pct"/>
            <w:tcMar>
              <w:top w:w="0" w:type="dxa"/>
              <w:bottom w:w="0" w:type="dxa"/>
            </w:tcMar>
            <w:vAlign w:val="center"/>
          </w:tcPr>
          <w:p w14:paraId="1A2C96C5"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lastRenderedPageBreak/>
              <w:t>2</w:t>
            </w:r>
          </w:p>
        </w:tc>
        <w:tc>
          <w:tcPr>
            <w:tcW w:w="4273" w:type="pct"/>
            <w:tcMar>
              <w:top w:w="0" w:type="dxa"/>
              <w:bottom w:w="0" w:type="dxa"/>
            </w:tcMar>
            <w:vAlign w:val="center"/>
          </w:tcPr>
          <w:p w14:paraId="3BA0D41D"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Ha Le Thang</w:t>
            </w:r>
          </w:p>
        </w:tc>
      </w:tr>
      <w:tr w:rsidR="00B733F4" w14:paraId="5EC12E24" w14:textId="77777777" w:rsidTr="00B733F4">
        <w:tc>
          <w:tcPr>
            <w:tcW w:w="727" w:type="pct"/>
            <w:tcMar>
              <w:top w:w="0" w:type="dxa"/>
              <w:bottom w:w="0" w:type="dxa"/>
            </w:tcMar>
            <w:vAlign w:val="center"/>
          </w:tcPr>
          <w:p w14:paraId="72D596D9"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3</w:t>
            </w:r>
          </w:p>
        </w:tc>
        <w:tc>
          <w:tcPr>
            <w:tcW w:w="4273" w:type="pct"/>
            <w:tcMar>
              <w:top w:w="0" w:type="dxa"/>
              <w:bottom w:w="0" w:type="dxa"/>
            </w:tcMar>
            <w:vAlign w:val="center"/>
          </w:tcPr>
          <w:p w14:paraId="0708E5F7" w14:textId="4367C691" w:rsidR="00B733F4" w:rsidRDefault="00170FBD"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Pham</w:t>
            </w:r>
            <w:r w:rsidR="00B733F4">
              <w:rPr>
                <w:rFonts w:ascii="Arial" w:hAnsi="Arial"/>
                <w:color w:val="000000"/>
                <w:sz w:val="20"/>
              </w:rPr>
              <w:t xml:space="preserve"> </w:t>
            </w:r>
            <w:proofErr w:type="spellStart"/>
            <w:r w:rsidR="00B733F4">
              <w:rPr>
                <w:rFonts w:ascii="Arial" w:hAnsi="Arial"/>
                <w:color w:val="000000"/>
                <w:sz w:val="20"/>
              </w:rPr>
              <w:t>Huu</w:t>
            </w:r>
            <w:proofErr w:type="spellEnd"/>
            <w:r w:rsidR="00B733F4">
              <w:rPr>
                <w:rFonts w:ascii="Arial" w:hAnsi="Arial"/>
                <w:color w:val="000000"/>
                <w:sz w:val="20"/>
              </w:rPr>
              <w:t xml:space="preserve"> Hao</w:t>
            </w:r>
          </w:p>
        </w:tc>
      </w:tr>
      <w:tr w:rsidR="00B733F4" w14:paraId="09763CA7" w14:textId="77777777" w:rsidTr="00B733F4">
        <w:tc>
          <w:tcPr>
            <w:tcW w:w="727" w:type="pct"/>
            <w:tcMar>
              <w:top w:w="0" w:type="dxa"/>
              <w:bottom w:w="0" w:type="dxa"/>
            </w:tcMar>
            <w:vAlign w:val="center"/>
          </w:tcPr>
          <w:p w14:paraId="34140CD2"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4</w:t>
            </w:r>
          </w:p>
        </w:tc>
        <w:tc>
          <w:tcPr>
            <w:tcW w:w="4273" w:type="pct"/>
            <w:tcMar>
              <w:top w:w="0" w:type="dxa"/>
              <w:bottom w:w="0" w:type="dxa"/>
            </w:tcMar>
            <w:vAlign w:val="center"/>
          </w:tcPr>
          <w:p w14:paraId="003CA3CB" w14:textId="77777777" w:rsidR="00B733F4" w:rsidRDefault="00B733F4"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Pham Thanh Phong</w:t>
            </w:r>
          </w:p>
        </w:tc>
      </w:tr>
    </w:tbl>
    <w:p w14:paraId="0E8C7F38" w14:textId="1E80450E"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Approve the election result of independent member of the Board of Directors for the 2026–2031 term</w:t>
      </w:r>
    </w:p>
    <w:tbl>
      <w:tblPr>
        <w:tblStyle w:val="a4"/>
        <w:tblW w:w="90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299"/>
        <w:gridCol w:w="7723"/>
      </w:tblGrid>
      <w:tr w:rsidR="008D218E" w14:paraId="07791BDB" w14:textId="77777777" w:rsidTr="00B733F4">
        <w:tc>
          <w:tcPr>
            <w:tcW w:w="1299" w:type="dxa"/>
            <w:tcMar>
              <w:top w:w="0" w:type="dxa"/>
              <w:bottom w:w="0" w:type="dxa"/>
            </w:tcMar>
            <w:vAlign w:val="center"/>
          </w:tcPr>
          <w:p w14:paraId="3EF93EDE"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No.</w:t>
            </w:r>
          </w:p>
        </w:tc>
        <w:tc>
          <w:tcPr>
            <w:tcW w:w="7723" w:type="dxa"/>
            <w:tcMar>
              <w:top w:w="0" w:type="dxa"/>
              <w:bottom w:w="0" w:type="dxa"/>
            </w:tcMar>
            <w:vAlign w:val="center"/>
          </w:tcPr>
          <w:p w14:paraId="7AED94F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Full name</w:t>
            </w:r>
          </w:p>
        </w:tc>
      </w:tr>
      <w:tr w:rsidR="008D218E" w14:paraId="31DE2842" w14:textId="77777777" w:rsidTr="00B733F4">
        <w:tc>
          <w:tcPr>
            <w:tcW w:w="1299" w:type="dxa"/>
            <w:tcMar>
              <w:top w:w="0" w:type="dxa"/>
              <w:bottom w:w="0" w:type="dxa"/>
            </w:tcMar>
            <w:vAlign w:val="center"/>
          </w:tcPr>
          <w:p w14:paraId="4C2E5CBA"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1</w:t>
            </w:r>
          </w:p>
        </w:tc>
        <w:tc>
          <w:tcPr>
            <w:tcW w:w="7723" w:type="dxa"/>
            <w:tcMar>
              <w:top w:w="0" w:type="dxa"/>
              <w:bottom w:w="0" w:type="dxa"/>
            </w:tcMar>
            <w:vAlign w:val="center"/>
          </w:tcPr>
          <w:p w14:paraId="29A81FF1"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color w:val="000000"/>
                <w:sz w:val="20"/>
              </w:rPr>
              <w:t>Cao Huyen Trang</w:t>
            </w:r>
          </w:p>
        </w:tc>
      </w:tr>
    </w:tbl>
    <w:p w14:paraId="32BB3F4C"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Article 18:</w:t>
      </w:r>
      <w:r>
        <w:rPr>
          <w:rFonts w:ascii="Arial" w:hAnsi="Arial"/>
          <w:color w:val="000000"/>
          <w:sz w:val="20"/>
        </w:rPr>
        <w:t xml:space="preserve"> </w:t>
      </w:r>
      <w:r>
        <w:rPr>
          <w:rFonts w:ascii="Arial" w:hAnsi="Arial"/>
          <w:sz w:val="20"/>
        </w:rPr>
        <w:t>Terms of enforcement</w:t>
      </w:r>
    </w:p>
    <w:p w14:paraId="54781FD9" w14:textId="77777777"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This General Mandate consists of 18 Articles, was approved by the General Meeting of Shareholders, and takes effect from the date of its signing.</w:t>
      </w:r>
    </w:p>
    <w:p w14:paraId="1F6AAE7C" w14:textId="4490D9A0" w:rsidR="008D218E" w:rsidRDefault="00FD5FE0" w:rsidP="00170FBD">
      <w:pPr>
        <w:pBdr>
          <w:top w:val="nil"/>
          <w:left w:val="nil"/>
          <w:bottom w:val="nil"/>
          <w:right w:val="nil"/>
          <w:between w:val="nil"/>
        </w:pBdr>
        <w:spacing w:after="120" w:line="360" w:lineRule="auto"/>
        <w:jc w:val="both"/>
        <w:rPr>
          <w:rFonts w:ascii="Arial" w:eastAsia="Arial" w:hAnsi="Arial" w:cs="Arial"/>
          <w:color w:val="000000"/>
          <w:sz w:val="20"/>
          <w:szCs w:val="20"/>
        </w:rPr>
      </w:pPr>
      <w:r>
        <w:rPr>
          <w:rFonts w:ascii="Arial" w:hAnsi="Arial"/>
          <w:sz w:val="20"/>
        </w:rPr>
        <w:t xml:space="preserve">The Board of Directors of Long Beach LMC Joint Stock Company, </w:t>
      </w:r>
      <w:r w:rsidR="00170FBD">
        <w:rPr>
          <w:rFonts w:ascii="Arial" w:hAnsi="Arial"/>
          <w:sz w:val="20"/>
        </w:rPr>
        <w:t>Executive Board</w:t>
      </w:r>
      <w:r>
        <w:rPr>
          <w:rFonts w:ascii="Arial" w:hAnsi="Arial"/>
          <w:sz w:val="20"/>
        </w:rPr>
        <w:t xml:space="preserve"> and all relevant departments are responsible for implementing this General Mandate, ensuring the interests of shareholders and the Company, and complying with all applicable </w:t>
      </w:r>
      <w:r w:rsidR="00170FBD">
        <w:rPr>
          <w:rFonts w:ascii="Arial" w:hAnsi="Arial"/>
          <w:sz w:val="20"/>
        </w:rPr>
        <w:t>laws</w:t>
      </w:r>
      <w:r>
        <w:rPr>
          <w:rFonts w:ascii="Arial" w:hAnsi="Arial"/>
          <w:sz w:val="20"/>
        </w:rPr>
        <w:t>.</w:t>
      </w:r>
    </w:p>
    <w:p w14:paraId="5AB49F0A" w14:textId="77777777" w:rsidR="008D218E" w:rsidRDefault="008D218E" w:rsidP="00170FBD">
      <w:pPr>
        <w:pBdr>
          <w:top w:val="nil"/>
          <w:left w:val="nil"/>
          <w:bottom w:val="nil"/>
          <w:right w:val="nil"/>
          <w:between w:val="nil"/>
        </w:pBdr>
        <w:spacing w:after="120" w:line="360" w:lineRule="auto"/>
        <w:jc w:val="both"/>
        <w:rPr>
          <w:rFonts w:ascii="Arial" w:eastAsia="Arial" w:hAnsi="Arial" w:cs="Arial"/>
          <w:color w:val="000000"/>
          <w:sz w:val="20"/>
          <w:szCs w:val="20"/>
        </w:rPr>
      </w:pPr>
    </w:p>
    <w:p w14:paraId="5E463439" w14:textId="77777777" w:rsidR="008D218E" w:rsidRDefault="008D218E" w:rsidP="00170FBD">
      <w:pPr>
        <w:pBdr>
          <w:top w:val="nil"/>
          <w:left w:val="nil"/>
          <w:bottom w:val="nil"/>
          <w:right w:val="nil"/>
          <w:between w:val="nil"/>
        </w:pBdr>
        <w:spacing w:after="120" w:line="360" w:lineRule="auto"/>
        <w:jc w:val="both"/>
        <w:rPr>
          <w:rFonts w:ascii="Arial" w:eastAsia="Arial" w:hAnsi="Arial" w:cs="Arial"/>
          <w:color w:val="000000"/>
          <w:sz w:val="20"/>
          <w:szCs w:val="20"/>
        </w:rPr>
      </w:pPr>
    </w:p>
    <w:p w14:paraId="464E56A2" w14:textId="77777777" w:rsidR="008D218E" w:rsidRDefault="008D218E" w:rsidP="00170FBD">
      <w:pPr>
        <w:spacing w:after="120" w:line="360" w:lineRule="auto"/>
        <w:jc w:val="both"/>
        <w:rPr>
          <w:rFonts w:ascii="Arial" w:eastAsia="Arial" w:hAnsi="Arial" w:cs="Arial"/>
          <w:color w:val="000000"/>
          <w:sz w:val="20"/>
          <w:szCs w:val="20"/>
        </w:rPr>
      </w:pPr>
    </w:p>
    <w:p w14:paraId="465E5C38" w14:textId="77777777" w:rsidR="008D218E" w:rsidRDefault="008D218E" w:rsidP="00170FBD">
      <w:pPr>
        <w:pBdr>
          <w:top w:val="nil"/>
          <w:left w:val="nil"/>
          <w:bottom w:val="nil"/>
          <w:right w:val="nil"/>
          <w:between w:val="nil"/>
        </w:pBdr>
        <w:spacing w:after="120" w:line="360" w:lineRule="auto"/>
        <w:jc w:val="both"/>
        <w:rPr>
          <w:rFonts w:ascii="Arial" w:eastAsia="Arial" w:hAnsi="Arial" w:cs="Arial"/>
          <w:color w:val="000000"/>
          <w:sz w:val="20"/>
          <w:szCs w:val="20"/>
        </w:rPr>
      </w:pPr>
    </w:p>
    <w:p w14:paraId="2D04A23E" w14:textId="77777777" w:rsidR="008D218E" w:rsidRDefault="008D218E" w:rsidP="00170FBD">
      <w:pPr>
        <w:pBdr>
          <w:top w:val="nil"/>
          <w:left w:val="nil"/>
          <w:bottom w:val="nil"/>
          <w:right w:val="nil"/>
          <w:between w:val="nil"/>
        </w:pBdr>
        <w:spacing w:after="120" w:line="360" w:lineRule="auto"/>
        <w:jc w:val="both"/>
        <w:rPr>
          <w:rFonts w:ascii="Arial" w:eastAsia="Arial" w:hAnsi="Arial" w:cs="Arial"/>
          <w:color w:val="000000"/>
          <w:sz w:val="20"/>
          <w:szCs w:val="20"/>
        </w:rPr>
      </w:pPr>
    </w:p>
    <w:sectPr w:rsidR="008D218E">
      <w:pgSz w:w="11907" w:h="16839"/>
      <w:pgMar w:top="1440" w:right="1440" w:bottom="1440" w:left="1440" w:header="0" w:footer="3"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C86A1ED4-3007-4473-82C7-555762E684D8}"/>
    <w:embedBold r:id="rId2" w:fontKey="{F0A0D962-E953-4004-9C72-04532A9F19A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E85950F1-C776-49C8-BC5F-9C96DC3F4D8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4" w:fontKey="{8FBF69BE-6ADE-417D-A5E5-457453E2BD15}"/>
  </w:font>
  <w:font w:name="Cambria">
    <w:panose1 w:val="02040503050406030204"/>
    <w:charset w:val="00"/>
    <w:family w:val="roman"/>
    <w:pitch w:val="variable"/>
    <w:sig w:usb0="E00006FF" w:usb1="420024FF" w:usb2="02000000" w:usb3="00000000" w:csb0="0000019F" w:csb1="00000000"/>
    <w:embedRegular r:id="rId5" w:fontKey="{1F99C049-9786-46CB-B954-29E6C152544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4716"/>
    <w:multiLevelType w:val="multilevel"/>
    <w:tmpl w:val="BE94BE22"/>
    <w:lvl w:ilvl="0">
      <w:start w:val="21"/>
      <w:numFmt w:val="decimal"/>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8682220"/>
    <w:multiLevelType w:val="multilevel"/>
    <w:tmpl w:val="A036A93A"/>
    <w:lvl w:ilvl="0">
      <w:start w:val="10"/>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14D72876"/>
    <w:multiLevelType w:val="multilevel"/>
    <w:tmpl w:val="022221F2"/>
    <w:lvl w:ilvl="0">
      <w:start w:val="1"/>
      <w:numFmt w:val="upperRoman"/>
      <w:lvlText w:val="%1."/>
      <w:lvlJc w:val="left"/>
      <w:pPr>
        <w:ind w:left="1080" w:hanging="720"/>
      </w:pPr>
      <w:rPr>
        <w:rFonts w:ascii="Arial" w:eastAsia="Arial" w:hAnsi="Arial" w:cs="Arial"/>
        <w:b w:val="0"/>
        <w:bCs w:val="0"/>
        <w:i w:val="0"/>
        <w:iCs w:val="0"/>
        <w:color w:val="3D4241"/>
        <w:sz w:val="20"/>
        <w:szCs w:val="20"/>
        <w:u w:val="none"/>
      </w:rPr>
    </w:lvl>
    <w:lvl w:ilvl="1">
      <w:start w:val="1"/>
      <w:numFmt w:val="lowerLetter"/>
      <w:lvlText w:val="%2."/>
      <w:lvlJc w:val="left"/>
      <w:pPr>
        <w:ind w:left="1440" w:hanging="360"/>
      </w:pPr>
      <w:rPr>
        <w:rFonts w:ascii="Arial" w:eastAsia="Arial" w:hAnsi="Arial" w:cs="Arial"/>
        <w:b w:val="0"/>
        <w:bCs w:val="0"/>
        <w:i w:val="0"/>
        <w:iCs w:val="0"/>
        <w:sz w:val="20"/>
        <w:szCs w:val="20"/>
      </w:rPr>
    </w:lvl>
    <w:lvl w:ilvl="2">
      <w:start w:val="1"/>
      <w:numFmt w:val="lowerRoman"/>
      <w:lvlText w:val="%3."/>
      <w:lvlJc w:val="right"/>
      <w:pPr>
        <w:ind w:left="2160" w:hanging="180"/>
      </w:pPr>
      <w:rPr>
        <w:rFonts w:ascii="Arial" w:eastAsia="Arial" w:hAnsi="Arial" w:cs="Arial"/>
        <w:b w:val="0"/>
        <w:bCs w:val="0"/>
        <w:i w:val="0"/>
        <w:iCs w:val="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7F4F63"/>
    <w:multiLevelType w:val="multilevel"/>
    <w:tmpl w:val="827E815E"/>
    <w:lvl w:ilvl="0">
      <w:start w:val="1"/>
      <w:numFmt w:val="decimal"/>
      <w:lvlText w:val="%1."/>
      <w:lvlJc w:val="left"/>
      <w:pPr>
        <w:ind w:left="1080" w:hanging="360"/>
      </w:pPr>
      <w:rPr>
        <w:rFonts w:ascii="Arial" w:eastAsia="Arial" w:hAnsi="Arial" w:cs="Arial"/>
        <w:b w:val="0"/>
        <w:bCs w:val="0"/>
        <w:i w:val="0"/>
        <w:iCs w:val="0"/>
        <w:sz w:val="20"/>
        <w:szCs w:val="20"/>
        <w:u w:val="none"/>
      </w:rPr>
    </w:lvl>
    <w:lvl w:ilvl="1">
      <w:start w:val="1"/>
      <w:numFmt w:val="lowerLetter"/>
      <w:lvlText w:val="%2."/>
      <w:lvlJc w:val="left"/>
      <w:pPr>
        <w:ind w:left="1800" w:hanging="360"/>
      </w:pPr>
      <w:rPr>
        <w:rFonts w:ascii="Arial" w:eastAsia="Arial" w:hAnsi="Arial" w:cs="Arial"/>
        <w:b w:val="0"/>
        <w:bCs w:val="0"/>
        <w:i w:val="0"/>
        <w:iCs w:val="0"/>
        <w:sz w:val="20"/>
        <w:szCs w:val="20"/>
      </w:rPr>
    </w:lvl>
    <w:lvl w:ilvl="2">
      <w:start w:val="1"/>
      <w:numFmt w:val="lowerRoman"/>
      <w:lvlText w:val="%3."/>
      <w:lvlJc w:val="right"/>
      <w:pPr>
        <w:ind w:left="2520" w:hanging="180"/>
      </w:pPr>
      <w:rPr>
        <w:rFonts w:ascii="Arial" w:eastAsia="Arial" w:hAnsi="Arial" w:cs="Arial"/>
        <w:b w:val="0"/>
        <w:bCs w:val="0"/>
        <w:i w:val="0"/>
        <w:iCs w:val="0"/>
        <w:sz w:val="20"/>
        <w:szCs w:val="20"/>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FE6682B"/>
    <w:multiLevelType w:val="multilevel"/>
    <w:tmpl w:val="1B6A2A20"/>
    <w:lvl w:ilvl="0">
      <w:start w:val="1"/>
      <w:numFmt w:val="lowerLetter"/>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49382E44"/>
    <w:multiLevelType w:val="multilevel"/>
    <w:tmpl w:val="D504B0E8"/>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6E546D4D"/>
    <w:multiLevelType w:val="multilevel"/>
    <w:tmpl w:val="F96073A6"/>
    <w:lvl w:ilvl="0">
      <w:start w:val="16"/>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74D02220"/>
    <w:multiLevelType w:val="multilevel"/>
    <w:tmpl w:val="DD42E3A8"/>
    <w:lvl w:ilvl="0">
      <w:start w:val="12"/>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7E2C31A9"/>
    <w:multiLevelType w:val="multilevel"/>
    <w:tmpl w:val="B48C040C"/>
    <w:lvl w:ilvl="0">
      <w:start w:val="22"/>
      <w:numFmt w:val="decimal"/>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5"/>
  </w:num>
  <w:num w:numId="2">
    <w:abstractNumId w:val="8"/>
  </w:num>
  <w:num w:numId="3">
    <w:abstractNumId w:val="2"/>
  </w:num>
  <w:num w:numId="4">
    <w:abstractNumId w:val="3"/>
  </w:num>
  <w:num w:numId="5">
    <w:abstractNumId w:val="1"/>
  </w:num>
  <w:num w:numId="6">
    <w:abstractNumId w:val="7"/>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18E"/>
    <w:rsid w:val="00170FBD"/>
    <w:rsid w:val="004B1311"/>
    <w:rsid w:val="008D218E"/>
    <w:rsid w:val="00B733F4"/>
    <w:rsid w:val="00B87024"/>
    <w:rsid w:val="00D30B58"/>
    <w:rsid w:val="00DE1200"/>
    <w:rsid w:val="00FD5F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2FAF5"/>
  <w15:docId w15:val="{3FE33E80-1ACD-4012-BF46-B348F3F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zh-CN"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table" w:customStyle="1" w:styleId="a2">
    <w:basedOn w:val="TableNormal0"/>
    <w:tblPr>
      <w:tblStyleRowBandSize w:val="1"/>
      <w:tblStyleColBandSize w:val="1"/>
      <w:tblCellMar>
        <w:top w:w="0" w:type="dxa"/>
        <w:left w:w="10" w:type="dxa"/>
        <w:bottom w:w="0" w:type="dxa"/>
        <w:right w:w="10" w:type="dxa"/>
      </w:tblCellMar>
    </w:tblPr>
  </w:style>
  <w:style w:type="table" w:customStyle="1" w:styleId="a3">
    <w:basedOn w:val="TableNormal0"/>
    <w:tblPr>
      <w:tblStyleRowBandSize w:val="1"/>
      <w:tblStyleColBandSize w:val="1"/>
      <w:tblCellMar>
        <w:top w:w="0" w:type="dxa"/>
        <w:left w:w="10" w:type="dxa"/>
        <w:bottom w:w="0" w:type="dxa"/>
        <w:right w:w="10" w:type="dxa"/>
      </w:tblCellMar>
    </w:tblPr>
  </w:style>
  <w:style w:type="table" w:customStyle="1" w:styleId="a4">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gcgCkKJQRbnNQwYPQeBr1cIKHA==">CgMxLjAyDmgud3N2emVneGR3cm1hOAByITFmT21iVFRwQjMwNFJSa3hNbU44d0w3STk5aXAzUWd4Sg==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1340</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 Duc Quan</dc:creator>
  <cp:lastModifiedBy>Nguyen Duc Quan</cp:lastModifiedBy>
  <cp:revision>4</cp:revision>
  <dcterms:created xsi:type="dcterms:W3CDTF">2026-06-08T03:10:00Z</dcterms:created>
  <dcterms:modified xsi:type="dcterms:W3CDTF">2026-06-08T03:15:00Z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10df5f2d-69dc-4387-a1b5-8cdb6f921242</vt:lpwstr>
  </property>
</Properties>
</file>