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F1553" w:rsidRPr="00D8277B" w:rsidRDefault="00D8277B" w:rsidP="00B42BFB">
      <w:pPr>
        <w:pBdr>
          <w:top w:val="nil"/>
          <w:left w:val="nil"/>
          <w:bottom w:val="nil"/>
          <w:right w:val="nil"/>
          <w:between w:val="nil"/>
        </w:pBdr>
        <w:spacing w:after="120" w:line="360" w:lineRule="auto"/>
        <w:jc w:val="both"/>
        <w:rPr>
          <w:rFonts w:ascii="Arial" w:eastAsia="Arial" w:hAnsi="Arial" w:cs="Arial"/>
          <w:b/>
          <w:bCs/>
          <w:color w:val="010000"/>
          <w:sz w:val="20"/>
          <w:szCs w:val="20"/>
        </w:rPr>
      </w:pPr>
      <w:bookmarkStart w:id="0" w:name="_heading=h.zih1vjct45g5"/>
      <w:bookmarkEnd w:id="0"/>
      <w:r w:rsidRPr="00D8277B">
        <w:rPr>
          <w:rFonts w:ascii="Arial" w:hAnsi="Arial" w:cs="Arial"/>
          <w:b/>
          <w:color w:val="010000"/>
          <w:sz w:val="20"/>
        </w:rPr>
        <w:t>L</w:t>
      </w:r>
      <w:r w:rsidR="00E273F0">
        <w:rPr>
          <w:rFonts w:ascii="Arial" w:hAnsi="Arial" w:cs="Arial"/>
          <w:b/>
          <w:color w:val="010000"/>
          <w:sz w:val="20"/>
        </w:rPr>
        <w:t>MC: Board Resolution</w:t>
      </w:r>
    </w:p>
    <w:p w:rsidR="006F1553" w:rsidRPr="00D8277B" w:rsidRDefault="00D8277B" w:rsidP="00B42BFB">
      <w:pPr>
        <w:pBdr>
          <w:top w:val="nil"/>
          <w:left w:val="nil"/>
          <w:bottom w:val="nil"/>
          <w:right w:val="nil"/>
          <w:between w:val="nil"/>
        </w:pBdr>
        <w:spacing w:after="120" w:line="360" w:lineRule="auto"/>
        <w:jc w:val="both"/>
        <w:rPr>
          <w:rFonts w:ascii="Arial" w:eastAsia="Arial" w:hAnsi="Arial" w:cs="Arial"/>
          <w:color w:val="010000"/>
          <w:sz w:val="20"/>
          <w:szCs w:val="20"/>
        </w:rPr>
      </w:pPr>
      <w:r w:rsidRPr="00D8277B">
        <w:rPr>
          <w:rFonts w:ascii="Arial" w:hAnsi="Arial" w:cs="Arial"/>
          <w:color w:val="010000"/>
          <w:sz w:val="20"/>
        </w:rPr>
        <w:t xml:space="preserve">On July 3, 2026, LUMI Holdings Joint Stock Company announced Resolution No. 0307/2026/LMC/NQ-HDQT on the approval of implementing the private placement as follows: </w:t>
      </w:r>
    </w:p>
    <w:p w:rsidR="006F1553" w:rsidRPr="00D8277B" w:rsidRDefault="00D8277B" w:rsidP="00B42BFB">
      <w:pPr>
        <w:pBdr>
          <w:top w:val="nil"/>
          <w:left w:val="nil"/>
          <w:bottom w:val="nil"/>
          <w:right w:val="nil"/>
          <w:between w:val="nil"/>
        </w:pBdr>
        <w:spacing w:after="120" w:line="360" w:lineRule="auto"/>
        <w:jc w:val="both"/>
        <w:rPr>
          <w:rFonts w:ascii="Arial" w:eastAsia="Arial" w:hAnsi="Arial" w:cs="Arial"/>
          <w:color w:val="010000"/>
          <w:sz w:val="20"/>
          <w:szCs w:val="20"/>
        </w:rPr>
      </w:pPr>
      <w:r w:rsidRPr="00D8277B">
        <w:rPr>
          <w:rFonts w:ascii="Arial" w:hAnsi="Arial" w:cs="Arial"/>
          <w:color w:val="010000"/>
          <w:sz w:val="20"/>
        </w:rPr>
        <w:t>Article 1: Approve the implementation of the private placement to increase the Company's charter capital in accordance with the Annual General Mandate 2026. The detailed share offering plan is as follows:</w:t>
      </w:r>
    </w:p>
    <w:p w:rsidR="006F1553" w:rsidRPr="00D8277B" w:rsidRDefault="00D8277B" w:rsidP="00B42BFB">
      <w:pPr>
        <w:numPr>
          <w:ilvl w:val="0"/>
          <w:numId w:val="1"/>
        </w:numPr>
        <w:pBdr>
          <w:top w:val="nil"/>
          <w:left w:val="nil"/>
          <w:bottom w:val="nil"/>
          <w:right w:val="nil"/>
          <w:between w:val="nil"/>
        </w:pBdr>
        <w:tabs>
          <w:tab w:val="left" w:pos="398"/>
        </w:tabs>
        <w:spacing w:after="120" w:line="360" w:lineRule="auto"/>
        <w:jc w:val="both"/>
        <w:rPr>
          <w:rFonts w:ascii="Arial" w:eastAsia="Arial" w:hAnsi="Arial" w:cs="Arial"/>
          <w:color w:val="010000"/>
          <w:sz w:val="20"/>
          <w:szCs w:val="20"/>
        </w:rPr>
      </w:pPr>
      <w:r w:rsidRPr="00D8277B">
        <w:rPr>
          <w:rFonts w:ascii="Arial" w:hAnsi="Arial" w:cs="Arial"/>
          <w:color w:val="010000"/>
          <w:sz w:val="20"/>
        </w:rPr>
        <w:t>Issuer: LUMI Holdings Joint Stock Company</w:t>
      </w:r>
    </w:p>
    <w:p w:rsidR="006F1553" w:rsidRPr="00D8277B" w:rsidRDefault="00D8277B" w:rsidP="00B42BFB">
      <w:pPr>
        <w:numPr>
          <w:ilvl w:val="0"/>
          <w:numId w:val="1"/>
        </w:numPr>
        <w:pBdr>
          <w:top w:val="nil"/>
          <w:left w:val="nil"/>
          <w:bottom w:val="nil"/>
          <w:right w:val="nil"/>
          <w:between w:val="nil"/>
        </w:pBdr>
        <w:tabs>
          <w:tab w:val="left" w:pos="398"/>
        </w:tabs>
        <w:spacing w:after="120" w:line="360" w:lineRule="auto"/>
        <w:jc w:val="both"/>
        <w:rPr>
          <w:rFonts w:ascii="Arial" w:eastAsia="Arial" w:hAnsi="Arial" w:cs="Arial"/>
          <w:color w:val="010000"/>
          <w:sz w:val="20"/>
          <w:szCs w:val="20"/>
        </w:rPr>
      </w:pPr>
      <w:r w:rsidRPr="00D8277B">
        <w:rPr>
          <w:rFonts w:ascii="Arial" w:hAnsi="Arial" w:cs="Arial"/>
          <w:color w:val="010000"/>
          <w:sz w:val="20"/>
        </w:rPr>
        <w:t>Share name: Shares of LUMI Holdings Joint Stock Company</w:t>
      </w:r>
    </w:p>
    <w:p w:rsidR="006F1553" w:rsidRPr="00D8277B" w:rsidRDefault="00D8277B" w:rsidP="00B42BFB">
      <w:pPr>
        <w:numPr>
          <w:ilvl w:val="0"/>
          <w:numId w:val="1"/>
        </w:numPr>
        <w:pBdr>
          <w:top w:val="nil"/>
          <w:left w:val="nil"/>
          <w:bottom w:val="nil"/>
          <w:right w:val="nil"/>
          <w:between w:val="nil"/>
        </w:pBdr>
        <w:tabs>
          <w:tab w:val="left" w:pos="398"/>
        </w:tabs>
        <w:spacing w:after="120" w:line="360" w:lineRule="auto"/>
        <w:jc w:val="both"/>
        <w:rPr>
          <w:rFonts w:ascii="Arial" w:eastAsia="Arial" w:hAnsi="Arial" w:cs="Arial"/>
          <w:color w:val="010000"/>
          <w:sz w:val="20"/>
          <w:szCs w:val="20"/>
        </w:rPr>
      </w:pPr>
      <w:r w:rsidRPr="00D8277B">
        <w:rPr>
          <w:rFonts w:ascii="Arial" w:hAnsi="Arial" w:cs="Arial"/>
          <w:color w:val="010000"/>
          <w:sz w:val="20"/>
        </w:rPr>
        <w:t>Securities code: LMC</w:t>
      </w:r>
    </w:p>
    <w:p w:rsidR="006F1553" w:rsidRPr="00D8277B" w:rsidRDefault="00D8277B" w:rsidP="00B42BFB">
      <w:pPr>
        <w:numPr>
          <w:ilvl w:val="0"/>
          <w:numId w:val="1"/>
        </w:numPr>
        <w:pBdr>
          <w:top w:val="nil"/>
          <w:left w:val="nil"/>
          <w:bottom w:val="nil"/>
          <w:right w:val="nil"/>
          <w:between w:val="nil"/>
        </w:pBdr>
        <w:tabs>
          <w:tab w:val="left" w:pos="398"/>
        </w:tabs>
        <w:spacing w:after="120" w:line="360" w:lineRule="auto"/>
        <w:jc w:val="both"/>
        <w:rPr>
          <w:rFonts w:ascii="Arial" w:eastAsia="Arial" w:hAnsi="Arial" w:cs="Arial"/>
          <w:color w:val="010000"/>
          <w:sz w:val="20"/>
          <w:szCs w:val="20"/>
        </w:rPr>
      </w:pPr>
      <w:r w:rsidRPr="00D8277B">
        <w:rPr>
          <w:rFonts w:ascii="Arial" w:hAnsi="Arial" w:cs="Arial"/>
          <w:color w:val="010000"/>
          <w:sz w:val="20"/>
        </w:rPr>
        <w:t>Type of shares: Common shares</w:t>
      </w:r>
    </w:p>
    <w:p w:rsidR="006F1553" w:rsidRPr="00D8277B" w:rsidRDefault="00D8277B" w:rsidP="00B42BFB">
      <w:pPr>
        <w:numPr>
          <w:ilvl w:val="0"/>
          <w:numId w:val="1"/>
        </w:numPr>
        <w:pBdr>
          <w:top w:val="nil"/>
          <w:left w:val="nil"/>
          <w:bottom w:val="nil"/>
          <w:right w:val="nil"/>
          <w:between w:val="nil"/>
        </w:pBdr>
        <w:tabs>
          <w:tab w:val="left" w:pos="398"/>
        </w:tabs>
        <w:spacing w:after="120" w:line="360" w:lineRule="auto"/>
        <w:jc w:val="both"/>
        <w:rPr>
          <w:rFonts w:ascii="Arial" w:eastAsia="Arial" w:hAnsi="Arial" w:cs="Arial"/>
          <w:color w:val="010000"/>
          <w:sz w:val="20"/>
          <w:szCs w:val="20"/>
        </w:rPr>
      </w:pPr>
      <w:r w:rsidRPr="00D8277B">
        <w:rPr>
          <w:rFonts w:ascii="Arial" w:hAnsi="Arial" w:cs="Arial"/>
          <w:color w:val="010000"/>
          <w:sz w:val="20"/>
        </w:rPr>
        <w:t>Par value: VND10,000/share</w:t>
      </w:r>
    </w:p>
    <w:p w:rsidR="006F1553" w:rsidRPr="00D8277B" w:rsidRDefault="00D8277B" w:rsidP="00B42BFB">
      <w:pPr>
        <w:numPr>
          <w:ilvl w:val="0"/>
          <w:numId w:val="1"/>
        </w:numPr>
        <w:pBdr>
          <w:top w:val="nil"/>
          <w:left w:val="nil"/>
          <w:bottom w:val="nil"/>
          <w:right w:val="nil"/>
          <w:between w:val="nil"/>
        </w:pBdr>
        <w:tabs>
          <w:tab w:val="left" w:pos="398"/>
        </w:tabs>
        <w:spacing w:after="120" w:line="360" w:lineRule="auto"/>
        <w:jc w:val="both"/>
        <w:rPr>
          <w:rFonts w:ascii="Arial" w:eastAsia="Arial" w:hAnsi="Arial" w:cs="Arial"/>
          <w:color w:val="010000"/>
          <w:sz w:val="20"/>
          <w:szCs w:val="20"/>
        </w:rPr>
      </w:pPr>
      <w:r w:rsidRPr="00D8277B">
        <w:rPr>
          <w:rFonts w:ascii="Arial" w:hAnsi="Arial" w:cs="Arial"/>
          <w:color w:val="010000"/>
          <w:sz w:val="20"/>
        </w:rPr>
        <w:t>Number of outstanding shares before issuance: 1,500,000 shares</w:t>
      </w:r>
    </w:p>
    <w:p w:rsidR="006F1553" w:rsidRPr="00D8277B" w:rsidRDefault="00D8277B" w:rsidP="00B42BFB">
      <w:pPr>
        <w:numPr>
          <w:ilvl w:val="0"/>
          <w:numId w:val="1"/>
        </w:numPr>
        <w:pBdr>
          <w:top w:val="nil"/>
          <w:left w:val="nil"/>
          <w:bottom w:val="nil"/>
          <w:right w:val="nil"/>
          <w:between w:val="nil"/>
        </w:pBdr>
        <w:tabs>
          <w:tab w:val="left" w:pos="398"/>
        </w:tabs>
        <w:spacing w:after="120" w:line="360" w:lineRule="auto"/>
        <w:jc w:val="both"/>
        <w:rPr>
          <w:rFonts w:ascii="Arial" w:eastAsia="Arial" w:hAnsi="Arial" w:cs="Arial"/>
          <w:color w:val="010000"/>
          <w:sz w:val="20"/>
          <w:szCs w:val="20"/>
        </w:rPr>
      </w:pPr>
      <w:r w:rsidRPr="00D8277B">
        <w:rPr>
          <w:rFonts w:ascii="Arial" w:hAnsi="Arial" w:cs="Arial"/>
          <w:color w:val="010000"/>
          <w:sz w:val="20"/>
        </w:rPr>
        <w:t>Number of offered shares: 3,500,000 shares</w:t>
      </w:r>
    </w:p>
    <w:p w:rsidR="006F1553" w:rsidRPr="00D8277B" w:rsidRDefault="00D8277B" w:rsidP="00B42BFB">
      <w:pPr>
        <w:numPr>
          <w:ilvl w:val="0"/>
          <w:numId w:val="1"/>
        </w:numPr>
        <w:pBdr>
          <w:top w:val="nil"/>
          <w:left w:val="nil"/>
          <w:bottom w:val="nil"/>
          <w:right w:val="nil"/>
          <w:between w:val="nil"/>
        </w:pBdr>
        <w:tabs>
          <w:tab w:val="left" w:pos="398"/>
        </w:tabs>
        <w:spacing w:after="120" w:line="360" w:lineRule="auto"/>
        <w:jc w:val="both"/>
        <w:rPr>
          <w:rFonts w:ascii="Arial" w:eastAsia="Arial" w:hAnsi="Arial" w:cs="Arial"/>
          <w:color w:val="010000"/>
          <w:sz w:val="20"/>
          <w:szCs w:val="20"/>
        </w:rPr>
      </w:pPr>
      <w:r w:rsidRPr="00D8277B">
        <w:rPr>
          <w:rFonts w:ascii="Arial" w:hAnsi="Arial" w:cs="Arial"/>
          <w:color w:val="010000"/>
          <w:sz w:val="20"/>
        </w:rPr>
        <w:t>Expected issuance rate/Total outstanding shares: 233%</w:t>
      </w:r>
    </w:p>
    <w:p w:rsidR="006F1553" w:rsidRPr="00D8277B" w:rsidRDefault="00D8277B" w:rsidP="00B42BFB">
      <w:pPr>
        <w:numPr>
          <w:ilvl w:val="0"/>
          <w:numId w:val="1"/>
        </w:numPr>
        <w:pBdr>
          <w:top w:val="nil"/>
          <w:left w:val="nil"/>
          <w:bottom w:val="nil"/>
          <w:right w:val="nil"/>
          <w:between w:val="nil"/>
        </w:pBdr>
        <w:tabs>
          <w:tab w:val="left" w:pos="398"/>
        </w:tabs>
        <w:spacing w:after="120" w:line="360" w:lineRule="auto"/>
        <w:jc w:val="both"/>
        <w:rPr>
          <w:rFonts w:ascii="Arial" w:eastAsia="Arial" w:hAnsi="Arial" w:cs="Arial"/>
          <w:color w:val="010000"/>
          <w:sz w:val="20"/>
          <w:szCs w:val="20"/>
        </w:rPr>
      </w:pPr>
      <w:r w:rsidRPr="00D8277B">
        <w:rPr>
          <w:rFonts w:ascii="Arial" w:hAnsi="Arial" w:cs="Arial"/>
          <w:color w:val="010000"/>
          <w:sz w:val="20"/>
        </w:rPr>
        <w:t>Offering price: VND10,000/share</w:t>
      </w:r>
    </w:p>
    <w:p w:rsidR="006F1553" w:rsidRPr="00D8277B" w:rsidRDefault="00D8277B" w:rsidP="00B42BFB">
      <w:pPr>
        <w:numPr>
          <w:ilvl w:val="0"/>
          <w:numId w:val="1"/>
        </w:numPr>
        <w:pBdr>
          <w:top w:val="nil"/>
          <w:left w:val="nil"/>
          <w:bottom w:val="nil"/>
          <w:right w:val="nil"/>
          <w:between w:val="nil"/>
        </w:pBdr>
        <w:tabs>
          <w:tab w:val="left" w:pos="445"/>
        </w:tabs>
        <w:spacing w:after="120" w:line="360" w:lineRule="auto"/>
        <w:jc w:val="both"/>
        <w:rPr>
          <w:rFonts w:ascii="Arial" w:eastAsia="Arial" w:hAnsi="Arial" w:cs="Arial"/>
          <w:color w:val="010000"/>
          <w:sz w:val="20"/>
          <w:szCs w:val="20"/>
        </w:rPr>
      </w:pPr>
      <w:r w:rsidRPr="00D8277B">
        <w:rPr>
          <w:rFonts w:ascii="Arial" w:hAnsi="Arial" w:cs="Arial"/>
          <w:color w:val="010000"/>
          <w:sz w:val="20"/>
        </w:rPr>
        <w:t xml:space="preserve">Total expected proceeds from the offering: VND35,000,000,000 </w:t>
      </w:r>
    </w:p>
    <w:p w:rsidR="006F1553" w:rsidRPr="00D8277B" w:rsidRDefault="00D8277B" w:rsidP="00B42BFB">
      <w:pPr>
        <w:numPr>
          <w:ilvl w:val="0"/>
          <w:numId w:val="1"/>
        </w:numPr>
        <w:pBdr>
          <w:top w:val="nil"/>
          <w:left w:val="nil"/>
          <w:bottom w:val="nil"/>
          <w:right w:val="nil"/>
          <w:between w:val="nil"/>
        </w:pBdr>
        <w:tabs>
          <w:tab w:val="left" w:pos="445"/>
        </w:tabs>
        <w:spacing w:after="120" w:line="360" w:lineRule="auto"/>
        <w:jc w:val="both"/>
        <w:rPr>
          <w:rFonts w:ascii="Arial" w:eastAsia="Arial" w:hAnsi="Arial" w:cs="Arial"/>
          <w:color w:val="010000"/>
          <w:sz w:val="20"/>
          <w:szCs w:val="20"/>
        </w:rPr>
      </w:pPr>
      <w:r w:rsidRPr="00D8277B">
        <w:rPr>
          <w:rFonts w:ascii="Arial" w:hAnsi="Arial" w:cs="Arial"/>
          <w:color w:val="010000"/>
          <w:sz w:val="20"/>
        </w:rPr>
        <w:t>Purpose of the share offering: Supplement working capital for the Company's business operations.</w:t>
      </w:r>
    </w:p>
    <w:p w:rsidR="006F1553" w:rsidRPr="00D8277B" w:rsidRDefault="00D8277B" w:rsidP="00B42BFB">
      <w:pPr>
        <w:numPr>
          <w:ilvl w:val="0"/>
          <w:numId w:val="1"/>
        </w:numPr>
        <w:pBdr>
          <w:top w:val="nil"/>
          <w:left w:val="nil"/>
          <w:bottom w:val="nil"/>
          <w:right w:val="nil"/>
          <w:between w:val="nil"/>
        </w:pBdr>
        <w:tabs>
          <w:tab w:val="left" w:pos="408"/>
        </w:tabs>
        <w:spacing w:after="120" w:line="360" w:lineRule="auto"/>
        <w:jc w:val="both"/>
        <w:rPr>
          <w:rFonts w:ascii="Arial" w:eastAsia="Arial" w:hAnsi="Arial" w:cs="Arial"/>
          <w:color w:val="010000"/>
          <w:sz w:val="20"/>
          <w:szCs w:val="20"/>
        </w:rPr>
      </w:pPr>
      <w:r w:rsidRPr="00D8277B">
        <w:rPr>
          <w:rFonts w:ascii="Arial" w:hAnsi="Arial" w:cs="Arial"/>
          <w:color w:val="010000"/>
          <w:sz w:val="20"/>
        </w:rPr>
        <w:t>Offering method: Private placement for professional securities investors.</w:t>
      </w:r>
    </w:p>
    <w:p w:rsidR="006F1553" w:rsidRPr="00D8277B" w:rsidRDefault="00D8277B" w:rsidP="00B42BFB">
      <w:pPr>
        <w:numPr>
          <w:ilvl w:val="0"/>
          <w:numId w:val="1"/>
        </w:numPr>
        <w:pBdr>
          <w:top w:val="nil"/>
          <w:left w:val="nil"/>
          <w:bottom w:val="nil"/>
          <w:right w:val="nil"/>
          <w:between w:val="nil"/>
        </w:pBdr>
        <w:tabs>
          <w:tab w:val="left" w:pos="408"/>
        </w:tabs>
        <w:spacing w:after="120" w:line="360" w:lineRule="auto"/>
        <w:jc w:val="both"/>
        <w:rPr>
          <w:rFonts w:ascii="Arial" w:eastAsia="Arial" w:hAnsi="Arial" w:cs="Arial"/>
          <w:color w:val="010000"/>
          <w:sz w:val="20"/>
          <w:szCs w:val="20"/>
        </w:rPr>
      </w:pPr>
      <w:r w:rsidRPr="00D8277B">
        <w:rPr>
          <w:rFonts w:ascii="Arial" w:hAnsi="Arial" w:cs="Arial"/>
          <w:color w:val="010000"/>
          <w:sz w:val="20"/>
        </w:rPr>
        <w:t>Eligible buyers: Domestic professional securities investors.</w:t>
      </w:r>
    </w:p>
    <w:p w:rsidR="006F1553" w:rsidRPr="00D8277B" w:rsidRDefault="00D8277B" w:rsidP="00B42BFB">
      <w:pPr>
        <w:numPr>
          <w:ilvl w:val="0"/>
          <w:numId w:val="1"/>
        </w:numPr>
        <w:pBdr>
          <w:top w:val="nil"/>
          <w:left w:val="nil"/>
          <w:bottom w:val="nil"/>
          <w:right w:val="nil"/>
          <w:between w:val="nil"/>
        </w:pBdr>
        <w:tabs>
          <w:tab w:val="left" w:pos="408"/>
        </w:tabs>
        <w:spacing w:after="120" w:line="360" w:lineRule="auto"/>
        <w:jc w:val="both"/>
        <w:rPr>
          <w:rFonts w:ascii="Arial" w:eastAsia="Arial" w:hAnsi="Arial" w:cs="Arial"/>
          <w:color w:val="010000"/>
          <w:sz w:val="20"/>
          <w:szCs w:val="20"/>
        </w:rPr>
      </w:pPr>
      <w:r w:rsidRPr="00D8277B">
        <w:rPr>
          <w:rFonts w:ascii="Arial" w:hAnsi="Arial" w:cs="Arial"/>
          <w:color w:val="010000"/>
          <w:sz w:val="20"/>
        </w:rPr>
        <w:t>Criteria for selecting investors to purchase shares in a private placement:</w:t>
      </w:r>
    </w:p>
    <w:p w:rsidR="006F1553" w:rsidRPr="00D8277B" w:rsidRDefault="00D8277B" w:rsidP="00B42BFB">
      <w:pPr>
        <w:numPr>
          <w:ilvl w:val="0"/>
          <w:numId w:val="2"/>
        </w:numPr>
        <w:pBdr>
          <w:top w:val="nil"/>
          <w:left w:val="nil"/>
          <w:bottom w:val="nil"/>
          <w:right w:val="nil"/>
          <w:between w:val="nil"/>
        </w:pBdr>
        <w:spacing w:after="120" w:line="360" w:lineRule="auto"/>
        <w:ind w:left="0" w:firstLine="0"/>
        <w:jc w:val="both"/>
        <w:rPr>
          <w:rFonts w:ascii="Arial" w:eastAsia="Arial" w:hAnsi="Arial" w:cs="Arial"/>
          <w:color w:val="010000"/>
          <w:sz w:val="20"/>
          <w:szCs w:val="20"/>
        </w:rPr>
      </w:pPr>
      <w:r w:rsidRPr="00D8277B">
        <w:rPr>
          <w:rFonts w:ascii="Arial" w:hAnsi="Arial" w:cs="Arial"/>
          <w:color w:val="010000"/>
          <w:sz w:val="20"/>
        </w:rPr>
        <w:t>Professional securities investors, as defined by applicable laws, being domestic individuals or organizations that demonstrate a willingness to cooperate, possess sufficient financial capacity, and are capable of fully paying for the shares subscribed.</w:t>
      </w:r>
    </w:p>
    <w:p w:rsidR="006F1553" w:rsidRPr="00D8277B" w:rsidRDefault="00D8277B" w:rsidP="00B42BFB">
      <w:pPr>
        <w:numPr>
          <w:ilvl w:val="0"/>
          <w:numId w:val="2"/>
        </w:numPr>
        <w:pBdr>
          <w:top w:val="nil"/>
          <w:left w:val="nil"/>
          <w:bottom w:val="nil"/>
          <w:right w:val="nil"/>
          <w:between w:val="nil"/>
        </w:pBdr>
        <w:spacing w:after="120" w:line="360" w:lineRule="auto"/>
        <w:ind w:left="0" w:firstLine="0"/>
        <w:jc w:val="both"/>
        <w:rPr>
          <w:rFonts w:ascii="Arial" w:eastAsia="Arial" w:hAnsi="Arial" w:cs="Arial"/>
          <w:color w:val="010000"/>
          <w:sz w:val="20"/>
          <w:szCs w:val="20"/>
        </w:rPr>
      </w:pPr>
      <w:r w:rsidRPr="00D8277B">
        <w:rPr>
          <w:rFonts w:ascii="Arial" w:hAnsi="Arial" w:cs="Arial"/>
          <w:color w:val="010000"/>
          <w:sz w:val="20"/>
        </w:rPr>
        <w:t xml:space="preserve">Individuals who are members of the Board of Directors, members of the </w:t>
      </w:r>
      <w:r w:rsidR="00E273F0">
        <w:rPr>
          <w:rFonts w:ascii="Arial" w:hAnsi="Arial" w:cs="Arial"/>
          <w:color w:val="010000"/>
          <w:sz w:val="20"/>
        </w:rPr>
        <w:t>Executive Board</w:t>
      </w:r>
      <w:r w:rsidRPr="00D8277B">
        <w:rPr>
          <w:rFonts w:ascii="Arial" w:hAnsi="Arial" w:cs="Arial"/>
          <w:color w:val="010000"/>
          <w:sz w:val="20"/>
        </w:rPr>
        <w:t xml:space="preserve"> or key executives of the Company, who have adequate financial resources and </w:t>
      </w:r>
      <w:r>
        <w:rPr>
          <w:rFonts w:ascii="Arial" w:hAnsi="Arial" w:cs="Arial"/>
          <w:color w:val="010000"/>
          <w:sz w:val="20"/>
        </w:rPr>
        <w:t>can</w:t>
      </w:r>
      <w:r w:rsidRPr="00D8277B">
        <w:rPr>
          <w:rFonts w:ascii="Arial" w:hAnsi="Arial" w:cs="Arial"/>
          <w:color w:val="010000"/>
          <w:sz w:val="20"/>
        </w:rPr>
        <w:t xml:space="preserve"> contribute capital immediately upon subscribing for shares, provided they qualify as professional securities investors.</w:t>
      </w:r>
    </w:p>
    <w:p w:rsidR="006F1553" w:rsidRPr="00D8277B" w:rsidRDefault="00D8277B" w:rsidP="00B42BFB">
      <w:pPr>
        <w:numPr>
          <w:ilvl w:val="0"/>
          <w:numId w:val="2"/>
        </w:numPr>
        <w:pBdr>
          <w:top w:val="nil"/>
          <w:left w:val="nil"/>
          <w:bottom w:val="nil"/>
          <w:right w:val="nil"/>
          <w:between w:val="nil"/>
        </w:pBdr>
        <w:spacing w:after="120" w:line="360" w:lineRule="auto"/>
        <w:ind w:left="0" w:firstLine="0"/>
        <w:jc w:val="both"/>
        <w:rPr>
          <w:rFonts w:ascii="Arial" w:eastAsia="Arial" w:hAnsi="Arial" w:cs="Arial"/>
          <w:color w:val="010000"/>
          <w:sz w:val="20"/>
          <w:szCs w:val="20"/>
        </w:rPr>
      </w:pPr>
      <w:r w:rsidRPr="00D8277B">
        <w:rPr>
          <w:rFonts w:ascii="Arial" w:hAnsi="Arial" w:cs="Arial"/>
          <w:color w:val="010000"/>
          <w:sz w:val="20"/>
        </w:rPr>
        <w:t>The total number of investors participating in the private placement shall not exceed 10 professional securities investors.</w:t>
      </w:r>
    </w:p>
    <w:p w:rsidR="006F1553" w:rsidRPr="00D8277B" w:rsidRDefault="00D8277B" w:rsidP="00B42BFB">
      <w:pPr>
        <w:numPr>
          <w:ilvl w:val="0"/>
          <w:numId w:val="1"/>
        </w:numPr>
        <w:pBdr>
          <w:top w:val="nil"/>
          <w:left w:val="nil"/>
          <w:bottom w:val="nil"/>
          <w:right w:val="nil"/>
          <w:between w:val="nil"/>
        </w:pBdr>
        <w:tabs>
          <w:tab w:val="left" w:pos="412"/>
        </w:tabs>
        <w:spacing w:after="120" w:line="360" w:lineRule="auto"/>
        <w:jc w:val="both"/>
        <w:rPr>
          <w:rFonts w:ascii="Arial" w:eastAsia="Arial" w:hAnsi="Arial" w:cs="Arial"/>
          <w:color w:val="010000"/>
          <w:sz w:val="20"/>
          <w:szCs w:val="20"/>
        </w:rPr>
      </w:pPr>
      <w:r w:rsidRPr="00D8277B">
        <w:rPr>
          <w:rFonts w:ascii="Arial" w:hAnsi="Arial" w:cs="Arial"/>
          <w:color w:val="010000"/>
          <w:sz w:val="20"/>
        </w:rPr>
        <w:t>Expected offering time: In 2026, after the State Securities Commission issues a written confirmation that it has received a complete private placement registration dossier from the Company.</w:t>
      </w:r>
    </w:p>
    <w:p w:rsidR="006F1553" w:rsidRPr="00D8277B" w:rsidRDefault="00D8277B" w:rsidP="00B42BFB">
      <w:pPr>
        <w:numPr>
          <w:ilvl w:val="0"/>
          <w:numId w:val="1"/>
        </w:numPr>
        <w:pBdr>
          <w:top w:val="nil"/>
          <w:left w:val="nil"/>
          <w:bottom w:val="nil"/>
          <w:right w:val="nil"/>
          <w:between w:val="nil"/>
        </w:pBdr>
        <w:tabs>
          <w:tab w:val="left" w:pos="412"/>
        </w:tabs>
        <w:spacing w:after="120" w:line="360" w:lineRule="auto"/>
        <w:jc w:val="both"/>
        <w:rPr>
          <w:rFonts w:ascii="Arial" w:eastAsia="Arial" w:hAnsi="Arial" w:cs="Arial"/>
          <w:color w:val="010000"/>
          <w:sz w:val="20"/>
          <w:szCs w:val="20"/>
        </w:rPr>
      </w:pPr>
      <w:r w:rsidRPr="00D8277B">
        <w:rPr>
          <w:rFonts w:ascii="Arial" w:hAnsi="Arial" w:cs="Arial"/>
          <w:color w:val="010000"/>
          <w:sz w:val="20"/>
        </w:rPr>
        <w:t>Transfer restrictions: Shares issued through the private placement to professional investors shall be subject to a one-year transfer restriction from the completion date of the offering.</w:t>
      </w:r>
    </w:p>
    <w:p w:rsidR="006F1553" w:rsidRPr="00D8277B" w:rsidRDefault="00D8277B" w:rsidP="00B42BFB">
      <w:pPr>
        <w:numPr>
          <w:ilvl w:val="0"/>
          <w:numId w:val="1"/>
        </w:numPr>
        <w:pBdr>
          <w:top w:val="nil"/>
          <w:left w:val="nil"/>
          <w:bottom w:val="nil"/>
          <w:right w:val="nil"/>
          <w:between w:val="nil"/>
        </w:pBdr>
        <w:tabs>
          <w:tab w:val="left" w:pos="412"/>
        </w:tabs>
        <w:spacing w:after="120" w:line="360" w:lineRule="auto"/>
        <w:jc w:val="both"/>
        <w:rPr>
          <w:rFonts w:ascii="Arial" w:eastAsia="Arial" w:hAnsi="Arial" w:cs="Arial"/>
          <w:color w:val="010000"/>
          <w:sz w:val="20"/>
          <w:szCs w:val="20"/>
        </w:rPr>
      </w:pPr>
      <w:r w:rsidRPr="00D8277B">
        <w:rPr>
          <w:rFonts w:ascii="Arial" w:hAnsi="Arial" w:cs="Arial"/>
          <w:color w:val="010000"/>
          <w:sz w:val="20"/>
        </w:rPr>
        <w:t>Plan on handling of unsold shares (if any):</w:t>
      </w:r>
    </w:p>
    <w:p w:rsidR="006F1553" w:rsidRPr="00D8277B" w:rsidRDefault="00D8277B" w:rsidP="00B42BFB">
      <w:pPr>
        <w:numPr>
          <w:ilvl w:val="0"/>
          <w:numId w:val="3"/>
        </w:numPr>
        <w:pBdr>
          <w:top w:val="nil"/>
          <w:left w:val="nil"/>
          <w:bottom w:val="nil"/>
          <w:right w:val="nil"/>
          <w:between w:val="nil"/>
        </w:pBdr>
        <w:spacing w:after="120" w:line="360" w:lineRule="auto"/>
        <w:ind w:left="0" w:firstLine="0"/>
        <w:jc w:val="both"/>
        <w:rPr>
          <w:rFonts w:ascii="Arial" w:eastAsia="Arial" w:hAnsi="Arial" w:cs="Arial"/>
          <w:color w:val="010000"/>
          <w:sz w:val="20"/>
          <w:szCs w:val="20"/>
        </w:rPr>
      </w:pPr>
      <w:r w:rsidRPr="00D8277B">
        <w:rPr>
          <w:rFonts w:ascii="Arial" w:hAnsi="Arial" w:cs="Arial"/>
          <w:color w:val="010000"/>
          <w:sz w:val="20"/>
        </w:rPr>
        <w:lastRenderedPageBreak/>
        <w:t xml:space="preserve">The number of shares that are not fully distributed due to eligible investors </w:t>
      </w:r>
      <w:r>
        <w:rPr>
          <w:rFonts w:ascii="Arial" w:hAnsi="Arial" w:cs="Arial"/>
          <w:color w:val="010000"/>
          <w:sz w:val="20"/>
        </w:rPr>
        <w:t>refusing to buy shares</w:t>
      </w:r>
      <w:r w:rsidRPr="00D8277B">
        <w:rPr>
          <w:rFonts w:ascii="Arial" w:hAnsi="Arial" w:cs="Arial"/>
          <w:color w:val="010000"/>
          <w:sz w:val="20"/>
        </w:rPr>
        <w:t>, the General Meeting authorizes the Board of Directors to decide to continue offering to other subjects (</w:t>
      </w:r>
      <w:r>
        <w:rPr>
          <w:rFonts w:ascii="Arial" w:hAnsi="Arial" w:cs="Arial"/>
          <w:color w:val="010000"/>
          <w:sz w:val="20"/>
        </w:rPr>
        <w:t xml:space="preserve">who </w:t>
      </w:r>
      <w:r w:rsidRPr="00D8277B">
        <w:rPr>
          <w:rFonts w:ascii="Arial" w:hAnsi="Arial" w:cs="Arial"/>
          <w:color w:val="010000"/>
          <w:sz w:val="20"/>
        </w:rPr>
        <w:t xml:space="preserve">are eligible buyers and </w:t>
      </w:r>
      <w:r>
        <w:rPr>
          <w:rFonts w:ascii="Arial" w:hAnsi="Arial" w:cs="Arial"/>
          <w:color w:val="010000"/>
          <w:sz w:val="20"/>
        </w:rPr>
        <w:t>meet</w:t>
      </w:r>
      <w:r w:rsidRPr="00D8277B">
        <w:rPr>
          <w:rFonts w:ascii="Arial" w:hAnsi="Arial" w:cs="Arial"/>
          <w:color w:val="010000"/>
          <w:sz w:val="20"/>
        </w:rPr>
        <w:t xml:space="preserve"> the criteria for selecting investors in this issuance plan with the issuance price not lower than the initial issuance price). The subsequent allocation of any unsold shares to other domestic professional securities investors shall comply with the Law on Enterprises, the Law on Securities, and other applicable legal regulations.</w:t>
      </w:r>
    </w:p>
    <w:p w:rsidR="006F1553" w:rsidRPr="00D8277B" w:rsidRDefault="00D8277B" w:rsidP="00B42BFB">
      <w:pPr>
        <w:numPr>
          <w:ilvl w:val="0"/>
          <w:numId w:val="3"/>
        </w:numPr>
        <w:pBdr>
          <w:top w:val="nil"/>
          <w:left w:val="nil"/>
          <w:bottom w:val="nil"/>
          <w:right w:val="nil"/>
          <w:between w:val="nil"/>
        </w:pBdr>
        <w:spacing w:after="120" w:line="360" w:lineRule="auto"/>
        <w:ind w:left="0" w:firstLine="0"/>
        <w:jc w:val="both"/>
        <w:rPr>
          <w:rFonts w:ascii="Arial" w:eastAsia="Arial" w:hAnsi="Arial" w:cs="Arial"/>
          <w:color w:val="010000"/>
          <w:sz w:val="20"/>
          <w:szCs w:val="20"/>
        </w:rPr>
      </w:pPr>
      <w:r w:rsidRPr="00D8277B">
        <w:rPr>
          <w:rFonts w:ascii="Arial" w:hAnsi="Arial" w:cs="Arial"/>
          <w:color w:val="010000"/>
          <w:sz w:val="20"/>
        </w:rPr>
        <w:t>In the event that the remaining shares offered are unsuccessful, the Board of Directors will cancel the unsold shares and decide to terminate the offering.</w:t>
      </w:r>
    </w:p>
    <w:p w:rsidR="006F1553" w:rsidRPr="00D8277B" w:rsidRDefault="00D8277B" w:rsidP="00B42BFB">
      <w:pPr>
        <w:numPr>
          <w:ilvl w:val="0"/>
          <w:numId w:val="1"/>
        </w:numPr>
        <w:pBdr>
          <w:top w:val="nil"/>
          <w:left w:val="nil"/>
          <w:bottom w:val="nil"/>
          <w:right w:val="nil"/>
          <w:between w:val="nil"/>
        </w:pBdr>
        <w:tabs>
          <w:tab w:val="left" w:pos="412"/>
        </w:tabs>
        <w:spacing w:after="120" w:line="360" w:lineRule="auto"/>
        <w:jc w:val="both"/>
        <w:rPr>
          <w:rFonts w:ascii="Arial" w:eastAsia="Arial" w:hAnsi="Arial" w:cs="Arial"/>
          <w:color w:val="010000"/>
          <w:sz w:val="20"/>
          <w:szCs w:val="20"/>
        </w:rPr>
      </w:pPr>
      <w:r w:rsidRPr="00D8277B">
        <w:rPr>
          <w:rFonts w:ascii="Arial" w:hAnsi="Arial" w:cs="Arial"/>
          <w:color w:val="010000"/>
          <w:sz w:val="20"/>
        </w:rPr>
        <w:t>Depository registration and additional listing registration: The newly issued shares will be registered with the Vietnam Securities Depository and Clearing Corporation (VSDC) and additionally listed on the Hanoi Stock Exchange (HNX) after completion of the private placement in accordance with applicable laws.</w:t>
      </w:r>
    </w:p>
    <w:p w:rsidR="006F1553" w:rsidRPr="00D8277B" w:rsidRDefault="00D8277B" w:rsidP="00B42BFB">
      <w:pPr>
        <w:pBdr>
          <w:top w:val="nil"/>
          <w:left w:val="nil"/>
          <w:bottom w:val="nil"/>
          <w:right w:val="nil"/>
          <w:between w:val="nil"/>
        </w:pBdr>
        <w:spacing w:after="120" w:line="360" w:lineRule="auto"/>
        <w:jc w:val="both"/>
        <w:rPr>
          <w:rFonts w:ascii="Arial" w:eastAsia="Arial" w:hAnsi="Arial" w:cs="Arial"/>
          <w:color w:val="010000"/>
          <w:sz w:val="20"/>
          <w:szCs w:val="20"/>
        </w:rPr>
      </w:pPr>
      <w:r w:rsidRPr="00D8277B">
        <w:rPr>
          <w:rFonts w:ascii="Arial" w:hAnsi="Arial" w:cs="Arial"/>
          <w:color w:val="010000"/>
          <w:sz w:val="20"/>
        </w:rPr>
        <w:t>Article 2: Approve the adjustment to the list of prospective investors participating in the offering, specifically:</w:t>
      </w:r>
    </w:p>
    <w:p w:rsidR="006F1553" w:rsidRPr="00D8277B" w:rsidRDefault="00D8277B" w:rsidP="00B42BFB">
      <w:pPr>
        <w:pBdr>
          <w:top w:val="nil"/>
          <w:left w:val="nil"/>
          <w:bottom w:val="nil"/>
          <w:right w:val="nil"/>
          <w:between w:val="nil"/>
        </w:pBdr>
        <w:spacing w:after="120" w:line="360" w:lineRule="auto"/>
        <w:jc w:val="both"/>
        <w:rPr>
          <w:rFonts w:ascii="Arial" w:eastAsia="Arial" w:hAnsi="Arial" w:cs="Arial"/>
          <w:color w:val="010000"/>
          <w:sz w:val="20"/>
          <w:szCs w:val="20"/>
        </w:rPr>
      </w:pPr>
      <w:r w:rsidRPr="00D8277B">
        <w:rPr>
          <w:rFonts w:ascii="Arial" w:hAnsi="Arial" w:cs="Arial"/>
          <w:color w:val="010000"/>
          <w:sz w:val="20"/>
        </w:rPr>
        <w:t>List of investors expected to participate in the offering before adjustment:</w:t>
      </w:r>
    </w:p>
    <w:tbl>
      <w:tblPr>
        <w:tblStyle w:val="a"/>
        <w:tblW w:w="500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816"/>
        <w:gridCol w:w="3426"/>
        <w:gridCol w:w="2521"/>
        <w:gridCol w:w="2254"/>
      </w:tblGrid>
      <w:tr w:rsidR="006F1553" w:rsidRPr="00D8277B" w:rsidTr="00D8277B">
        <w:tc>
          <w:tcPr>
            <w:tcW w:w="452" w:type="pct"/>
            <w:shd w:val="clear" w:color="auto" w:fill="auto"/>
            <w:tcMar>
              <w:top w:w="0" w:type="dxa"/>
              <w:bottom w:w="0" w:type="dxa"/>
            </w:tcMar>
            <w:vAlign w:val="center"/>
          </w:tcPr>
          <w:p w:rsidR="006F1553" w:rsidRPr="00D8277B" w:rsidRDefault="00D8277B" w:rsidP="00B42BFB">
            <w:pPr>
              <w:pBdr>
                <w:top w:val="nil"/>
                <w:left w:val="nil"/>
                <w:bottom w:val="nil"/>
                <w:right w:val="nil"/>
                <w:between w:val="nil"/>
              </w:pBdr>
              <w:spacing w:after="120" w:line="360" w:lineRule="auto"/>
              <w:jc w:val="both"/>
              <w:rPr>
                <w:rFonts w:ascii="Arial" w:eastAsia="Arial" w:hAnsi="Arial" w:cs="Arial"/>
                <w:color w:val="010000"/>
                <w:sz w:val="20"/>
                <w:szCs w:val="20"/>
              </w:rPr>
            </w:pPr>
            <w:r w:rsidRPr="00D8277B">
              <w:rPr>
                <w:rFonts w:ascii="Arial" w:hAnsi="Arial" w:cs="Arial"/>
                <w:color w:val="010000"/>
                <w:sz w:val="20"/>
              </w:rPr>
              <w:t xml:space="preserve">No. </w:t>
            </w:r>
          </w:p>
        </w:tc>
        <w:tc>
          <w:tcPr>
            <w:tcW w:w="1900" w:type="pct"/>
            <w:shd w:val="clear" w:color="auto" w:fill="auto"/>
            <w:tcMar>
              <w:top w:w="0" w:type="dxa"/>
              <w:bottom w:w="0" w:type="dxa"/>
            </w:tcMar>
            <w:vAlign w:val="center"/>
          </w:tcPr>
          <w:p w:rsidR="006F1553" w:rsidRPr="00D8277B" w:rsidRDefault="00D8277B" w:rsidP="00B42BFB">
            <w:pPr>
              <w:pBdr>
                <w:top w:val="nil"/>
                <w:left w:val="nil"/>
                <w:bottom w:val="nil"/>
                <w:right w:val="nil"/>
                <w:between w:val="nil"/>
              </w:pBdr>
              <w:spacing w:after="120" w:line="360" w:lineRule="auto"/>
              <w:jc w:val="both"/>
              <w:rPr>
                <w:rFonts w:ascii="Arial" w:eastAsia="Arial" w:hAnsi="Arial" w:cs="Arial"/>
                <w:color w:val="010000"/>
                <w:sz w:val="20"/>
                <w:szCs w:val="20"/>
              </w:rPr>
            </w:pPr>
            <w:r w:rsidRPr="00D8277B">
              <w:rPr>
                <w:rFonts w:ascii="Arial" w:hAnsi="Arial" w:cs="Arial"/>
                <w:color w:val="010000"/>
                <w:sz w:val="20"/>
              </w:rPr>
              <w:t>Name of investors</w:t>
            </w:r>
          </w:p>
        </w:tc>
        <w:tc>
          <w:tcPr>
            <w:tcW w:w="1398" w:type="pct"/>
            <w:shd w:val="clear" w:color="auto" w:fill="auto"/>
            <w:tcMar>
              <w:top w:w="0" w:type="dxa"/>
              <w:bottom w:w="0" w:type="dxa"/>
            </w:tcMar>
            <w:vAlign w:val="center"/>
          </w:tcPr>
          <w:p w:rsidR="006F1553" w:rsidRPr="00D8277B" w:rsidRDefault="00D8277B" w:rsidP="00B42BFB">
            <w:pPr>
              <w:pBdr>
                <w:top w:val="nil"/>
                <w:left w:val="nil"/>
                <w:bottom w:val="nil"/>
                <w:right w:val="nil"/>
                <w:between w:val="nil"/>
              </w:pBdr>
              <w:spacing w:after="120" w:line="360" w:lineRule="auto"/>
              <w:jc w:val="both"/>
              <w:rPr>
                <w:rFonts w:ascii="Arial" w:eastAsia="Arial" w:hAnsi="Arial" w:cs="Arial"/>
                <w:color w:val="010000"/>
                <w:sz w:val="20"/>
                <w:szCs w:val="20"/>
              </w:rPr>
            </w:pPr>
            <w:r w:rsidRPr="00D8277B">
              <w:rPr>
                <w:rFonts w:ascii="Arial" w:hAnsi="Arial" w:cs="Arial"/>
                <w:color w:val="010000"/>
                <w:sz w:val="20"/>
              </w:rPr>
              <w:t>ID Card/Citizen ID Card/Passport or Business Registration Certificate No.</w:t>
            </w:r>
          </w:p>
        </w:tc>
        <w:tc>
          <w:tcPr>
            <w:tcW w:w="1250" w:type="pct"/>
            <w:shd w:val="clear" w:color="auto" w:fill="auto"/>
            <w:tcMar>
              <w:top w:w="0" w:type="dxa"/>
              <w:bottom w:w="0" w:type="dxa"/>
            </w:tcMar>
            <w:vAlign w:val="center"/>
          </w:tcPr>
          <w:p w:rsidR="006F1553" w:rsidRPr="00D8277B" w:rsidRDefault="00D8277B" w:rsidP="00B42BFB">
            <w:pPr>
              <w:pBdr>
                <w:top w:val="nil"/>
                <w:left w:val="nil"/>
                <w:bottom w:val="nil"/>
                <w:right w:val="nil"/>
                <w:between w:val="nil"/>
              </w:pBdr>
              <w:spacing w:after="120" w:line="360" w:lineRule="auto"/>
              <w:jc w:val="both"/>
              <w:rPr>
                <w:rFonts w:ascii="Arial" w:eastAsia="Arial" w:hAnsi="Arial" w:cs="Arial"/>
                <w:color w:val="010000"/>
                <w:sz w:val="20"/>
                <w:szCs w:val="20"/>
              </w:rPr>
            </w:pPr>
            <w:r w:rsidRPr="00D8277B">
              <w:rPr>
                <w:rFonts w:ascii="Arial" w:hAnsi="Arial" w:cs="Arial"/>
                <w:color w:val="010000"/>
                <w:sz w:val="20"/>
              </w:rPr>
              <w:t xml:space="preserve">Shares </w:t>
            </w:r>
            <w:r>
              <w:rPr>
                <w:rFonts w:ascii="Arial" w:hAnsi="Arial" w:cs="Arial"/>
                <w:color w:val="010000"/>
                <w:sz w:val="20"/>
              </w:rPr>
              <w:t>expected</w:t>
            </w:r>
            <w:r w:rsidRPr="00D8277B">
              <w:rPr>
                <w:rFonts w:ascii="Arial" w:hAnsi="Arial" w:cs="Arial"/>
                <w:color w:val="010000"/>
                <w:sz w:val="20"/>
              </w:rPr>
              <w:t xml:space="preserve"> to be allocated (shares)</w:t>
            </w:r>
          </w:p>
        </w:tc>
      </w:tr>
      <w:tr w:rsidR="006F1553" w:rsidRPr="00D8277B" w:rsidTr="00D8277B">
        <w:tc>
          <w:tcPr>
            <w:tcW w:w="452" w:type="pct"/>
            <w:shd w:val="clear" w:color="auto" w:fill="auto"/>
            <w:tcMar>
              <w:top w:w="0" w:type="dxa"/>
              <w:bottom w:w="0" w:type="dxa"/>
            </w:tcMar>
            <w:vAlign w:val="center"/>
          </w:tcPr>
          <w:p w:rsidR="006F1553" w:rsidRPr="00D8277B" w:rsidRDefault="00D8277B" w:rsidP="00B42BFB">
            <w:pPr>
              <w:pBdr>
                <w:top w:val="nil"/>
                <w:left w:val="nil"/>
                <w:bottom w:val="nil"/>
                <w:right w:val="nil"/>
                <w:between w:val="nil"/>
              </w:pBdr>
              <w:spacing w:after="120" w:line="360" w:lineRule="auto"/>
              <w:jc w:val="both"/>
              <w:rPr>
                <w:rFonts w:ascii="Arial" w:eastAsia="Arial" w:hAnsi="Arial" w:cs="Arial"/>
                <w:color w:val="010000"/>
                <w:sz w:val="20"/>
                <w:szCs w:val="20"/>
              </w:rPr>
            </w:pPr>
            <w:r w:rsidRPr="00D8277B">
              <w:rPr>
                <w:rFonts w:ascii="Arial" w:hAnsi="Arial" w:cs="Arial"/>
                <w:color w:val="010000"/>
                <w:sz w:val="20"/>
              </w:rPr>
              <w:t>1</w:t>
            </w:r>
          </w:p>
        </w:tc>
        <w:tc>
          <w:tcPr>
            <w:tcW w:w="1900" w:type="pct"/>
            <w:shd w:val="clear" w:color="auto" w:fill="auto"/>
            <w:tcMar>
              <w:top w:w="0" w:type="dxa"/>
              <w:bottom w:w="0" w:type="dxa"/>
            </w:tcMar>
            <w:vAlign w:val="center"/>
          </w:tcPr>
          <w:p w:rsidR="006F1553" w:rsidRPr="00D8277B" w:rsidRDefault="00D8277B" w:rsidP="00B42BFB">
            <w:pPr>
              <w:pBdr>
                <w:top w:val="nil"/>
                <w:left w:val="nil"/>
                <w:bottom w:val="nil"/>
                <w:right w:val="nil"/>
                <w:between w:val="nil"/>
              </w:pBdr>
              <w:spacing w:after="120" w:line="360" w:lineRule="auto"/>
              <w:jc w:val="both"/>
              <w:rPr>
                <w:rFonts w:ascii="Arial" w:eastAsia="Arial" w:hAnsi="Arial" w:cs="Arial"/>
                <w:color w:val="010000"/>
                <w:sz w:val="20"/>
                <w:szCs w:val="20"/>
              </w:rPr>
            </w:pPr>
            <w:r w:rsidRPr="00D8277B">
              <w:rPr>
                <w:rFonts w:ascii="Arial" w:hAnsi="Arial" w:cs="Arial"/>
                <w:color w:val="010000"/>
                <w:sz w:val="20"/>
              </w:rPr>
              <w:t>Viet Capital Securities Investment Fund Management JSC</w:t>
            </w:r>
          </w:p>
        </w:tc>
        <w:tc>
          <w:tcPr>
            <w:tcW w:w="1398" w:type="pct"/>
            <w:shd w:val="clear" w:color="auto" w:fill="auto"/>
            <w:tcMar>
              <w:top w:w="0" w:type="dxa"/>
              <w:bottom w:w="0" w:type="dxa"/>
            </w:tcMar>
            <w:vAlign w:val="center"/>
          </w:tcPr>
          <w:p w:rsidR="006F1553" w:rsidRPr="00D8277B" w:rsidRDefault="00D8277B" w:rsidP="00B42BFB">
            <w:pPr>
              <w:pBdr>
                <w:top w:val="nil"/>
                <w:left w:val="nil"/>
                <w:bottom w:val="nil"/>
                <w:right w:val="nil"/>
                <w:between w:val="nil"/>
              </w:pBdr>
              <w:spacing w:after="120" w:line="360" w:lineRule="auto"/>
              <w:jc w:val="both"/>
              <w:rPr>
                <w:rFonts w:ascii="Arial" w:eastAsia="Arial" w:hAnsi="Arial" w:cs="Arial"/>
                <w:color w:val="010000"/>
                <w:sz w:val="20"/>
                <w:szCs w:val="20"/>
              </w:rPr>
            </w:pPr>
            <w:r w:rsidRPr="00D8277B">
              <w:rPr>
                <w:rFonts w:ascii="Arial" w:hAnsi="Arial" w:cs="Arial"/>
                <w:color w:val="010000"/>
                <w:sz w:val="20"/>
              </w:rPr>
              <w:t>17/GPDC-UBCK</w:t>
            </w:r>
          </w:p>
        </w:tc>
        <w:tc>
          <w:tcPr>
            <w:tcW w:w="1250" w:type="pct"/>
            <w:shd w:val="clear" w:color="auto" w:fill="auto"/>
            <w:tcMar>
              <w:top w:w="0" w:type="dxa"/>
              <w:bottom w:w="0" w:type="dxa"/>
            </w:tcMar>
            <w:vAlign w:val="center"/>
          </w:tcPr>
          <w:p w:rsidR="006F1553" w:rsidRPr="00D8277B" w:rsidRDefault="00D8277B" w:rsidP="00B42BFB">
            <w:pPr>
              <w:pBdr>
                <w:top w:val="nil"/>
                <w:left w:val="nil"/>
                <w:bottom w:val="nil"/>
                <w:right w:val="nil"/>
                <w:between w:val="nil"/>
              </w:pBdr>
              <w:spacing w:after="120" w:line="360" w:lineRule="auto"/>
              <w:jc w:val="both"/>
              <w:rPr>
                <w:rFonts w:ascii="Arial" w:eastAsia="Arial" w:hAnsi="Arial" w:cs="Arial"/>
                <w:color w:val="010000"/>
                <w:sz w:val="20"/>
                <w:szCs w:val="20"/>
              </w:rPr>
            </w:pPr>
            <w:r w:rsidRPr="00D8277B">
              <w:rPr>
                <w:rFonts w:ascii="Arial" w:hAnsi="Arial" w:cs="Arial"/>
                <w:color w:val="010000"/>
                <w:sz w:val="20"/>
              </w:rPr>
              <w:t>1,000,000</w:t>
            </w:r>
          </w:p>
        </w:tc>
      </w:tr>
      <w:tr w:rsidR="006F1553" w:rsidRPr="00D8277B" w:rsidTr="00D8277B">
        <w:tc>
          <w:tcPr>
            <w:tcW w:w="452" w:type="pct"/>
            <w:shd w:val="clear" w:color="auto" w:fill="auto"/>
            <w:tcMar>
              <w:top w:w="0" w:type="dxa"/>
              <w:bottom w:w="0" w:type="dxa"/>
            </w:tcMar>
            <w:vAlign w:val="center"/>
          </w:tcPr>
          <w:p w:rsidR="006F1553" w:rsidRPr="00D8277B" w:rsidRDefault="00D8277B" w:rsidP="00B42BFB">
            <w:pPr>
              <w:pBdr>
                <w:top w:val="nil"/>
                <w:left w:val="nil"/>
                <w:bottom w:val="nil"/>
                <w:right w:val="nil"/>
                <w:between w:val="nil"/>
              </w:pBdr>
              <w:spacing w:after="120" w:line="360" w:lineRule="auto"/>
              <w:jc w:val="both"/>
              <w:rPr>
                <w:rFonts w:ascii="Arial" w:eastAsia="Arial" w:hAnsi="Arial" w:cs="Arial"/>
                <w:color w:val="010000"/>
                <w:sz w:val="20"/>
                <w:szCs w:val="20"/>
              </w:rPr>
            </w:pPr>
            <w:r w:rsidRPr="00D8277B">
              <w:rPr>
                <w:rFonts w:ascii="Arial" w:hAnsi="Arial" w:cs="Arial"/>
                <w:color w:val="010000"/>
                <w:sz w:val="20"/>
              </w:rPr>
              <w:t>2</w:t>
            </w:r>
          </w:p>
        </w:tc>
        <w:tc>
          <w:tcPr>
            <w:tcW w:w="1900" w:type="pct"/>
            <w:shd w:val="clear" w:color="auto" w:fill="auto"/>
            <w:tcMar>
              <w:top w:w="0" w:type="dxa"/>
              <w:bottom w:w="0" w:type="dxa"/>
            </w:tcMar>
            <w:vAlign w:val="center"/>
          </w:tcPr>
          <w:p w:rsidR="006F1553" w:rsidRPr="00D8277B" w:rsidRDefault="00D8277B" w:rsidP="00B42BFB">
            <w:pPr>
              <w:pBdr>
                <w:top w:val="nil"/>
                <w:left w:val="nil"/>
                <w:bottom w:val="nil"/>
                <w:right w:val="nil"/>
                <w:between w:val="nil"/>
              </w:pBdr>
              <w:spacing w:after="120" w:line="360" w:lineRule="auto"/>
              <w:jc w:val="both"/>
              <w:rPr>
                <w:rFonts w:ascii="Arial" w:eastAsia="Arial" w:hAnsi="Arial" w:cs="Arial"/>
                <w:color w:val="010000"/>
                <w:sz w:val="20"/>
                <w:szCs w:val="20"/>
              </w:rPr>
            </w:pPr>
            <w:proofErr w:type="spellStart"/>
            <w:r w:rsidRPr="00D8277B">
              <w:rPr>
                <w:rFonts w:ascii="Arial" w:hAnsi="Arial" w:cs="Arial"/>
                <w:color w:val="010000"/>
                <w:sz w:val="20"/>
              </w:rPr>
              <w:t>VietinBank</w:t>
            </w:r>
            <w:proofErr w:type="spellEnd"/>
            <w:r w:rsidRPr="00D8277B">
              <w:rPr>
                <w:rFonts w:ascii="Arial" w:hAnsi="Arial" w:cs="Arial"/>
                <w:color w:val="010000"/>
                <w:sz w:val="20"/>
              </w:rPr>
              <w:t xml:space="preserve"> Fund Management Company Limited</w:t>
            </w:r>
          </w:p>
        </w:tc>
        <w:tc>
          <w:tcPr>
            <w:tcW w:w="1398" w:type="pct"/>
            <w:shd w:val="clear" w:color="auto" w:fill="auto"/>
            <w:tcMar>
              <w:top w:w="0" w:type="dxa"/>
              <w:bottom w:w="0" w:type="dxa"/>
            </w:tcMar>
            <w:vAlign w:val="center"/>
          </w:tcPr>
          <w:p w:rsidR="006F1553" w:rsidRPr="00D8277B" w:rsidRDefault="00D8277B" w:rsidP="00B42BFB">
            <w:pPr>
              <w:pBdr>
                <w:top w:val="nil"/>
                <w:left w:val="nil"/>
                <w:bottom w:val="nil"/>
                <w:right w:val="nil"/>
                <w:between w:val="nil"/>
              </w:pBdr>
              <w:spacing w:after="120" w:line="360" w:lineRule="auto"/>
              <w:jc w:val="both"/>
              <w:rPr>
                <w:rFonts w:ascii="Arial" w:eastAsia="Arial" w:hAnsi="Arial" w:cs="Arial"/>
                <w:color w:val="010000"/>
                <w:sz w:val="20"/>
                <w:szCs w:val="20"/>
              </w:rPr>
            </w:pPr>
            <w:r w:rsidRPr="00D8277B">
              <w:rPr>
                <w:rFonts w:ascii="Arial" w:hAnsi="Arial" w:cs="Arial"/>
                <w:color w:val="010000"/>
                <w:sz w:val="20"/>
              </w:rPr>
              <w:t>50/UBCK-GP</w:t>
            </w:r>
          </w:p>
        </w:tc>
        <w:tc>
          <w:tcPr>
            <w:tcW w:w="1250" w:type="pct"/>
            <w:shd w:val="clear" w:color="auto" w:fill="auto"/>
            <w:tcMar>
              <w:top w:w="0" w:type="dxa"/>
              <w:bottom w:w="0" w:type="dxa"/>
            </w:tcMar>
            <w:vAlign w:val="center"/>
          </w:tcPr>
          <w:p w:rsidR="006F1553" w:rsidRPr="00D8277B" w:rsidRDefault="00D8277B" w:rsidP="00B42BFB">
            <w:pPr>
              <w:pBdr>
                <w:top w:val="nil"/>
                <w:left w:val="nil"/>
                <w:bottom w:val="nil"/>
                <w:right w:val="nil"/>
                <w:between w:val="nil"/>
              </w:pBdr>
              <w:spacing w:after="120" w:line="360" w:lineRule="auto"/>
              <w:jc w:val="both"/>
              <w:rPr>
                <w:rFonts w:ascii="Arial" w:eastAsia="Arial" w:hAnsi="Arial" w:cs="Arial"/>
                <w:color w:val="010000"/>
                <w:sz w:val="20"/>
                <w:szCs w:val="20"/>
              </w:rPr>
            </w:pPr>
            <w:r w:rsidRPr="00D8277B">
              <w:rPr>
                <w:rFonts w:ascii="Arial" w:hAnsi="Arial" w:cs="Arial"/>
                <w:color w:val="010000"/>
                <w:sz w:val="20"/>
              </w:rPr>
              <w:t>1,000,000</w:t>
            </w:r>
          </w:p>
        </w:tc>
      </w:tr>
      <w:tr w:rsidR="006F1553" w:rsidRPr="00D8277B" w:rsidTr="00D8277B">
        <w:tc>
          <w:tcPr>
            <w:tcW w:w="452" w:type="pct"/>
            <w:shd w:val="clear" w:color="auto" w:fill="auto"/>
            <w:tcMar>
              <w:top w:w="0" w:type="dxa"/>
              <w:bottom w:w="0" w:type="dxa"/>
            </w:tcMar>
            <w:vAlign w:val="center"/>
          </w:tcPr>
          <w:p w:rsidR="006F1553" w:rsidRPr="00D8277B" w:rsidRDefault="00D8277B" w:rsidP="00B42BFB">
            <w:pPr>
              <w:pBdr>
                <w:top w:val="nil"/>
                <w:left w:val="nil"/>
                <w:bottom w:val="nil"/>
                <w:right w:val="nil"/>
                <w:between w:val="nil"/>
              </w:pBdr>
              <w:spacing w:after="120" w:line="360" w:lineRule="auto"/>
              <w:jc w:val="both"/>
              <w:rPr>
                <w:rFonts w:ascii="Arial" w:eastAsia="Arial" w:hAnsi="Arial" w:cs="Arial"/>
                <w:color w:val="010000"/>
                <w:sz w:val="20"/>
                <w:szCs w:val="20"/>
              </w:rPr>
            </w:pPr>
            <w:r w:rsidRPr="00D8277B">
              <w:rPr>
                <w:rFonts w:ascii="Arial" w:hAnsi="Arial" w:cs="Arial"/>
                <w:color w:val="010000"/>
                <w:sz w:val="20"/>
              </w:rPr>
              <w:t>3</w:t>
            </w:r>
          </w:p>
        </w:tc>
        <w:tc>
          <w:tcPr>
            <w:tcW w:w="1900" w:type="pct"/>
            <w:shd w:val="clear" w:color="auto" w:fill="auto"/>
            <w:tcMar>
              <w:top w:w="0" w:type="dxa"/>
              <w:bottom w:w="0" w:type="dxa"/>
            </w:tcMar>
            <w:vAlign w:val="center"/>
          </w:tcPr>
          <w:p w:rsidR="006F1553" w:rsidRPr="00D8277B" w:rsidRDefault="00D8277B" w:rsidP="00B42BFB">
            <w:pPr>
              <w:pBdr>
                <w:top w:val="nil"/>
                <w:left w:val="nil"/>
                <w:bottom w:val="nil"/>
                <w:right w:val="nil"/>
                <w:between w:val="nil"/>
              </w:pBdr>
              <w:spacing w:after="120" w:line="360" w:lineRule="auto"/>
              <w:jc w:val="both"/>
              <w:rPr>
                <w:rFonts w:ascii="Arial" w:eastAsia="Arial" w:hAnsi="Arial" w:cs="Arial"/>
                <w:color w:val="010000"/>
                <w:sz w:val="20"/>
                <w:szCs w:val="20"/>
              </w:rPr>
            </w:pPr>
            <w:r w:rsidRPr="00D8277B">
              <w:rPr>
                <w:rFonts w:ascii="Arial" w:hAnsi="Arial" w:cs="Arial"/>
                <w:color w:val="010000"/>
                <w:sz w:val="20"/>
              </w:rPr>
              <w:t xml:space="preserve">Nguyen </w:t>
            </w:r>
            <w:proofErr w:type="spellStart"/>
            <w:r w:rsidRPr="00D8277B">
              <w:rPr>
                <w:rFonts w:ascii="Arial" w:hAnsi="Arial" w:cs="Arial"/>
                <w:color w:val="010000"/>
                <w:sz w:val="20"/>
              </w:rPr>
              <w:t>Phuc</w:t>
            </w:r>
            <w:proofErr w:type="spellEnd"/>
            <w:r w:rsidRPr="00D8277B">
              <w:rPr>
                <w:rFonts w:ascii="Arial" w:hAnsi="Arial" w:cs="Arial"/>
                <w:color w:val="010000"/>
                <w:sz w:val="20"/>
              </w:rPr>
              <w:t xml:space="preserve"> </w:t>
            </w:r>
            <w:proofErr w:type="spellStart"/>
            <w:r w:rsidRPr="00D8277B">
              <w:rPr>
                <w:rFonts w:ascii="Arial" w:hAnsi="Arial" w:cs="Arial"/>
                <w:color w:val="010000"/>
                <w:sz w:val="20"/>
              </w:rPr>
              <w:t>Loi</w:t>
            </w:r>
            <w:proofErr w:type="spellEnd"/>
          </w:p>
        </w:tc>
        <w:tc>
          <w:tcPr>
            <w:tcW w:w="1398" w:type="pct"/>
            <w:shd w:val="clear" w:color="auto" w:fill="auto"/>
            <w:tcMar>
              <w:top w:w="0" w:type="dxa"/>
              <w:bottom w:w="0" w:type="dxa"/>
            </w:tcMar>
            <w:vAlign w:val="center"/>
          </w:tcPr>
          <w:p w:rsidR="006F1553" w:rsidRPr="00D8277B" w:rsidRDefault="00D8277B" w:rsidP="00B42BFB">
            <w:pPr>
              <w:pBdr>
                <w:top w:val="nil"/>
                <w:left w:val="nil"/>
                <w:bottom w:val="nil"/>
                <w:right w:val="nil"/>
                <w:between w:val="nil"/>
              </w:pBdr>
              <w:spacing w:after="120" w:line="360" w:lineRule="auto"/>
              <w:jc w:val="both"/>
              <w:rPr>
                <w:rFonts w:ascii="Arial" w:eastAsia="Arial" w:hAnsi="Arial" w:cs="Arial"/>
                <w:color w:val="010000"/>
                <w:sz w:val="20"/>
                <w:szCs w:val="20"/>
              </w:rPr>
            </w:pPr>
            <w:r w:rsidRPr="00D8277B">
              <w:rPr>
                <w:rFonts w:ascii="Arial" w:hAnsi="Arial" w:cs="Arial"/>
                <w:color w:val="010000"/>
                <w:sz w:val="20"/>
              </w:rPr>
              <w:t>052087000202</w:t>
            </w:r>
          </w:p>
        </w:tc>
        <w:tc>
          <w:tcPr>
            <w:tcW w:w="1250" w:type="pct"/>
            <w:shd w:val="clear" w:color="auto" w:fill="auto"/>
            <w:tcMar>
              <w:top w:w="0" w:type="dxa"/>
              <w:bottom w:w="0" w:type="dxa"/>
            </w:tcMar>
            <w:vAlign w:val="center"/>
          </w:tcPr>
          <w:p w:rsidR="006F1553" w:rsidRPr="00D8277B" w:rsidRDefault="00D8277B" w:rsidP="00B42BFB">
            <w:pPr>
              <w:pBdr>
                <w:top w:val="nil"/>
                <w:left w:val="nil"/>
                <w:bottom w:val="nil"/>
                <w:right w:val="nil"/>
                <w:between w:val="nil"/>
              </w:pBdr>
              <w:spacing w:after="120" w:line="360" w:lineRule="auto"/>
              <w:jc w:val="both"/>
              <w:rPr>
                <w:rFonts w:ascii="Arial" w:eastAsia="Arial" w:hAnsi="Arial" w:cs="Arial"/>
                <w:color w:val="010000"/>
                <w:sz w:val="20"/>
                <w:szCs w:val="20"/>
              </w:rPr>
            </w:pPr>
            <w:r w:rsidRPr="00D8277B">
              <w:rPr>
                <w:rFonts w:ascii="Arial" w:hAnsi="Arial" w:cs="Arial"/>
                <w:color w:val="010000"/>
                <w:sz w:val="20"/>
              </w:rPr>
              <w:t>1,500,000</w:t>
            </w:r>
          </w:p>
        </w:tc>
      </w:tr>
      <w:tr w:rsidR="006F1553" w:rsidRPr="00D8277B" w:rsidTr="00D8277B">
        <w:tc>
          <w:tcPr>
            <w:tcW w:w="3750" w:type="pct"/>
            <w:gridSpan w:val="3"/>
            <w:shd w:val="clear" w:color="auto" w:fill="auto"/>
            <w:tcMar>
              <w:top w:w="0" w:type="dxa"/>
              <w:bottom w:w="0" w:type="dxa"/>
            </w:tcMar>
            <w:vAlign w:val="center"/>
          </w:tcPr>
          <w:p w:rsidR="006F1553" w:rsidRPr="00D8277B" w:rsidRDefault="00D8277B" w:rsidP="00B42BFB">
            <w:pPr>
              <w:spacing w:after="120" w:line="360" w:lineRule="auto"/>
              <w:jc w:val="both"/>
              <w:rPr>
                <w:rFonts w:ascii="Arial" w:eastAsia="Arial" w:hAnsi="Arial" w:cs="Arial"/>
                <w:color w:val="010000"/>
                <w:sz w:val="20"/>
                <w:szCs w:val="20"/>
              </w:rPr>
            </w:pPr>
            <w:r w:rsidRPr="00D8277B">
              <w:rPr>
                <w:rFonts w:ascii="Arial" w:hAnsi="Arial" w:cs="Arial"/>
                <w:color w:val="010000"/>
                <w:sz w:val="20"/>
              </w:rPr>
              <w:t>Total</w:t>
            </w:r>
          </w:p>
        </w:tc>
        <w:tc>
          <w:tcPr>
            <w:tcW w:w="1250" w:type="pct"/>
            <w:shd w:val="clear" w:color="auto" w:fill="auto"/>
            <w:tcMar>
              <w:top w:w="0" w:type="dxa"/>
              <w:bottom w:w="0" w:type="dxa"/>
            </w:tcMar>
            <w:vAlign w:val="center"/>
          </w:tcPr>
          <w:p w:rsidR="006F1553" w:rsidRPr="00D8277B" w:rsidRDefault="00D8277B" w:rsidP="00B42BFB">
            <w:pPr>
              <w:pBdr>
                <w:top w:val="nil"/>
                <w:left w:val="nil"/>
                <w:bottom w:val="nil"/>
                <w:right w:val="nil"/>
                <w:between w:val="nil"/>
              </w:pBdr>
              <w:spacing w:after="120" w:line="360" w:lineRule="auto"/>
              <w:jc w:val="both"/>
              <w:rPr>
                <w:rFonts w:ascii="Arial" w:eastAsia="Arial" w:hAnsi="Arial" w:cs="Arial"/>
                <w:color w:val="010000"/>
                <w:sz w:val="20"/>
                <w:szCs w:val="20"/>
              </w:rPr>
            </w:pPr>
            <w:r w:rsidRPr="00D8277B">
              <w:rPr>
                <w:rFonts w:ascii="Arial" w:hAnsi="Arial" w:cs="Arial"/>
                <w:color w:val="010000"/>
                <w:sz w:val="20"/>
              </w:rPr>
              <w:t>3,500,000</w:t>
            </w:r>
          </w:p>
        </w:tc>
      </w:tr>
    </w:tbl>
    <w:p w:rsidR="006F1553" w:rsidRPr="00D8277B" w:rsidRDefault="00D8277B" w:rsidP="00B42BFB">
      <w:pPr>
        <w:pBdr>
          <w:top w:val="nil"/>
          <w:left w:val="nil"/>
          <w:bottom w:val="nil"/>
          <w:right w:val="nil"/>
          <w:between w:val="nil"/>
        </w:pBdr>
        <w:spacing w:after="120" w:line="360" w:lineRule="auto"/>
        <w:jc w:val="both"/>
        <w:rPr>
          <w:rFonts w:ascii="Arial" w:eastAsia="Arial" w:hAnsi="Arial" w:cs="Arial"/>
          <w:color w:val="010000"/>
          <w:sz w:val="20"/>
          <w:szCs w:val="20"/>
        </w:rPr>
      </w:pPr>
      <w:r w:rsidRPr="00D8277B">
        <w:rPr>
          <w:rFonts w:ascii="Arial" w:hAnsi="Arial" w:cs="Arial"/>
          <w:color w:val="010000"/>
          <w:sz w:val="20"/>
        </w:rPr>
        <w:t>List of investors expected to participate in the offering after adjustment:</w:t>
      </w:r>
    </w:p>
    <w:tbl>
      <w:tblPr>
        <w:tblStyle w:val="a0"/>
        <w:tblW w:w="5088" w:type="pct"/>
        <w:tblInd w:w="0" w:type="dxa"/>
        <w:tblLook w:val="0000" w:firstRow="0" w:lastRow="0" w:firstColumn="0" w:lastColumn="0" w:noHBand="0" w:noVBand="0"/>
      </w:tblPr>
      <w:tblGrid>
        <w:gridCol w:w="332"/>
        <w:gridCol w:w="1188"/>
        <w:gridCol w:w="1355"/>
        <w:gridCol w:w="1888"/>
        <w:gridCol w:w="1754"/>
        <w:gridCol w:w="754"/>
        <w:gridCol w:w="910"/>
        <w:gridCol w:w="995"/>
      </w:tblGrid>
      <w:tr w:rsidR="006F1553" w:rsidRPr="00D8277B" w:rsidTr="00E273F0">
        <w:tc>
          <w:tcPr>
            <w:tcW w:w="180" w:type="pct"/>
            <w:vMerge w:val="restart"/>
            <w:tcBorders>
              <w:top w:val="single" w:sz="4" w:space="0" w:color="000000"/>
              <w:left w:val="single" w:sz="4" w:space="0" w:color="000000"/>
            </w:tcBorders>
            <w:shd w:val="clear" w:color="auto" w:fill="auto"/>
            <w:tcMar>
              <w:top w:w="0" w:type="dxa"/>
              <w:bottom w:w="0" w:type="dxa"/>
            </w:tcMar>
            <w:vAlign w:val="center"/>
          </w:tcPr>
          <w:p w:rsidR="006F1553" w:rsidRPr="00D8277B" w:rsidRDefault="00D8277B" w:rsidP="00B42BFB">
            <w:pPr>
              <w:pBdr>
                <w:top w:val="nil"/>
                <w:left w:val="nil"/>
                <w:bottom w:val="nil"/>
                <w:right w:val="nil"/>
                <w:between w:val="nil"/>
              </w:pBdr>
              <w:spacing w:after="120" w:line="360" w:lineRule="auto"/>
              <w:jc w:val="both"/>
              <w:rPr>
                <w:rFonts w:ascii="Arial" w:eastAsia="Arial" w:hAnsi="Arial" w:cs="Arial"/>
                <w:color w:val="010000"/>
                <w:sz w:val="20"/>
                <w:szCs w:val="20"/>
              </w:rPr>
            </w:pPr>
            <w:r w:rsidRPr="00D8277B">
              <w:rPr>
                <w:rFonts w:ascii="Arial" w:hAnsi="Arial" w:cs="Arial"/>
                <w:color w:val="010000"/>
                <w:sz w:val="20"/>
              </w:rPr>
              <w:t xml:space="preserve">No. </w:t>
            </w:r>
          </w:p>
        </w:tc>
        <w:tc>
          <w:tcPr>
            <w:tcW w:w="640" w:type="pct"/>
            <w:vMerge w:val="restart"/>
            <w:tcBorders>
              <w:top w:val="single" w:sz="4" w:space="0" w:color="000000"/>
              <w:left w:val="single" w:sz="4" w:space="0" w:color="000000"/>
            </w:tcBorders>
            <w:shd w:val="clear" w:color="auto" w:fill="auto"/>
            <w:tcMar>
              <w:top w:w="0" w:type="dxa"/>
              <w:bottom w:w="0" w:type="dxa"/>
            </w:tcMar>
            <w:vAlign w:val="center"/>
          </w:tcPr>
          <w:p w:rsidR="006F1553" w:rsidRPr="00D8277B" w:rsidRDefault="00D8277B" w:rsidP="00B42BFB">
            <w:pPr>
              <w:pBdr>
                <w:top w:val="nil"/>
                <w:left w:val="nil"/>
                <w:bottom w:val="nil"/>
                <w:right w:val="nil"/>
                <w:between w:val="nil"/>
              </w:pBdr>
              <w:spacing w:after="120" w:line="360" w:lineRule="auto"/>
              <w:jc w:val="both"/>
              <w:rPr>
                <w:rFonts w:ascii="Arial" w:eastAsia="Arial" w:hAnsi="Arial" w:cs="Arial"/>
                <w:color w:val="010000"/>
                <w:sz w:val="20"/>
                <w:szCs w:val="20"/>
              </w:rPr>
            </w:pPr>
            <w:r w:rsidRPr="00D8277B">
              <w:rPr>
                <w:rFonts w:ascii="Arial" w:hAnsi="Arial" w:cs="Arial"/>
                <w:color w:val="010000"/>
                <w:sz w:val="20"/>
              </w:rPr>
              <w:t>Investor name</w:t>
            </w:r>
          </w:p>
        </w:tc>
        <w:tc>
          <w:tcPr>
            <w:tcW w:w="731" w:type="pct"/>
            <w:vMerge w:val="restart"/>
            <w:tcBorders>
              <w:top w:val="single" w:sz="4" w:space="0" w:color="000000"/>
              <w:left w:val="single" w:sz="4" w:space="0" w:color="000000"/>
            </w:tcBorders>
            <w:shd w:val="clear" w:color="auto" w:fill="auto"/>
            <w:tcMar>
              <w:top w:w="0" w:type="dxa"/>
              <w:bottom w:w="0" w:type="dxa"/>
            </w:tcMar>
            <w:vAlign w:val="center"/>
          </w:tcPr>
          <w:p w:rsidR="006F1553" w:rsidRPr="00D8277B" w:rsidRDefault="00D8277B" w:rsidP="00B42BFB">
            <w:pPr>
              <w:pBdr>
                <w:top w:val="nil"/>
                <w:left w:val="nil"/>
                <w:bottom w:val="nil"/>
                <w:right w:val="nil"/>
                <w:between w:val="nil"/>
              </w:pBdr>
              <w:spacing w:after="120" w:line="360" w:lineRule="auto"/>
              <w:jc w:val="both"/>
              <w:rPr>
                <w:rFonts w:ascii="Arial" w:eastAsia="Arial" w:hAnsi="Arial" w:cs="Arial"/>
                <w:color w:val="010000"/>
                <w:sz w:val="20"/>
                <w:szCs w:val="20"/>
              </w:rPr>
            </w:pPr>
            <w:r w:rsidRPr="00D8277B">
              <w:rPr>
                <w:rFonts w:ascii="Arial" w:hAnsi="Arial" w:cs="Arial"/>
                <w:color w:val="010000"/>
                <w:sz w:val="20"/>
              </w:rPr>
              <w:t xml:space="preserve">ID Card/Citizen Identification Card/Passport or Business Registration Certificate No. </w:t>
            </w:r>
          </w:p>
        </w:tc>
        <w:tc>
          <w:tcPr>
            <w:tcW w:w="1963" w:type="pct"/>
            <w:gridSpan w:val="2"/>
            <w:tcBorders>
              <w:top w:val="single" w:sz="4" w:space="0" w:color="000000"/>
              <w:left w:val="single" w:sz="4" w:space="0" w:color="000000"/>
            </w:tcBorders>
            <w:shd w:val="clear" w:color="auto" w:fill="auto"/>
            <w:tcMar>
              <w:top w:w="0" w:type="dxa"/>
              <w:bottom w:w="0" w:type="dxa"/>
            </w:tcMar>
            <w:vAlign w:val="center"/>
          </w:tcPr>
          <w:p w:rsidR="006F1553" w:rsidRPr="00D8277B" w:rsidRDefault="00D8277B" w:rsidP="00B42BFB">
            <w:pPr>
              <w:pBdr>
                <w:top w:val="nil"/>
                <w:left w:val="nil"/>
                <w:bottom w:val="nil"/>
                <w:right w:val="nil"/>
                <w:between w:val="nil"/>
              </w:pBdr>
              <w:spacing w:after="120" w:line="360" w:lineRule="auto"/>
              <w:jc w:val="both"/>
              <w:rPr>
                <w:rFonts w:ascii="Arial" w:eastAsia="Arial" w:hAnsi="Arial" w:cs="Arial"/>
                <w:color w:val="010000"/>
                <w:sz w:val="20"/>
                <w:szCs w:val="20"/>
              </w:rPr>
            </w:pPr>
            <w:r w:rsidRPr="00D8277B">
              <w:rPr>
                <w:rFonts w:ascii="Arial" w:hAnsi="Arial" w:cs="Arial"/>
                <w:color w:val="010000"/>
                <w:sz w:val="20"/>
              </w:rPr>
              <w:t>Subject</w:t>
            </w:r>
          </w:p>
        </w:tc>
        <w:tc>
          <w:tcPr>
            <w:tcW w:w="407" w:type="pct"/>
            <w:vMerge w:val="restart"/>
            <w:tcBorders>
              <w:top w:val="single" w:sz="4" w:space="0" w:color="000000"/>
              <w:left w:val="single" w:sz="4" w:space="0" w:color="000000"/>
            </w:tcBorders>
            <w:shd w:val="clear" w:color="auto" w:fill="auto"/>
            <w:tcMar>
              <w:top w:w="0" w:type="dxa"/>
              <w:bottom w:w="0" w:type="dxa"/>
            </w:tcMar>
            <w:vAlign w:val="center"/>
          </w:tcPr>
          <w:p w:rsidR="006F1553" w:rsidRPr="00D8277B" w:rsidRDefault="00D8277B" w:rsidP="00B42BFB">
            <w:pPr>
              <w:pBdr>
                <w:top w:val="nil"/>
                <w:left w:val="nil"/>
                <w:bottom w:val="nil"/>
                <w:right w:val="nil"/>
                <w:between w:val="nil"/>
              </w:pBdr>
              <w:spacing w:after="120" w:line="360" w:lineRule="auto"/>
              <w:jc w:val="both"/>
              <w:rPr>
                <w:rFonts w:ascii="Arial" w:eastAsia="Arial" w:hAnsi="Arial" w:cs="Arial"/>
                <w:color w:val="010000"/>
                <w:sz w:val="20"/>
                <w:szCs w:val="20"/>
              </w:rPr>
            </w:pPr>
            <w:r w:rsidRPr="00D8277B">
              <w:rPr>
                <w:rFonts w:ascii="Arial" w:hAnsi="Arial" w:cs="Arial"/>
                <w:color w:val="010000"/>
                <w:sz w:val="20"/>
              </w:rPr>
              <w:t>Number of owned shares before the offering (</w:t>
            </w:r>
            <w:r>
              <w:rPr>
                <w:rFonts w:ascii="Arial" w:hAnsi="Arial" w:cs="Arial"/>
                <w:color w:val="010000"/>
                <w:sz w:val="20"/>
              </w:rPr>
              <w:t>shares</w:t>
            </w:r>
            <w:r w:rsidRPr="00D8277B">
              <w:rPr>
                <w:rFonts w:ascii="Arial" w:hAnsi="Arial" w:cs="Arial"/>
                <w:color w:val="010000"/>
                <w:sz w:val="20"/>
              </w:rPr>
              <w:t>)</w:t>
            </w:r>
          </w:p>
        </w:tc>
        <w:tc>
          <w:tcPr>
            <w:tcW w:w="490" w:type="pct"/>
            <w:vMerge w:val="restart"/>
            <w:tcBorders>
              <w:top w:val="single" w:sz="4" w:space="0" w:color="000000"/>
              <w:left w:val="single" w:sz="4" w:space="0" w:color="000000"/>
            </w:tcBorders>
            <w:shd w:val="clear" w:color="auto" w:fill="auto"/>
            <w:tcMar>
              <w:top w:w="0" w:type="dxa"/>
              <w:bottom w:w="0" w:type="dxa"/>
            </w:tcMar>
            <w:vAlign w:val="center"/>
          </w:tcPr>
          <w:p w:rsidR="006F1553" w:rsidRPr="00D8277B" w:rsidRDefault="00D8277B" w:rsidP="00B42BFB">
            <w:pPr>
              <w:pBdr>
                <w:top w:val="nil"/>
                <w:left w:val="nil"/>
                <w:bottom w:val="nil"/>
                <w:right w:val="nil"/>
                <w:between w:val="nil"/>
              </w:pBdr>
              <w:spacing w:after="120" w:line="360" w:lineRule="auto"/>
              <w:jc w:val="both"/>
              <w:rPr>
                <w:rFonts w:ascii="Arial" w:eastAsia="Arial" w:hAnsi="Arial" w:cs="Arial"/>
                <w:color w:val="010000"/>
                <w:sz w:val="20"/>
                <w:szCs w:val="20"/>
              </w:rPr>
            </w:pPr>
            <w:r w:rsidRPr="00D8277B">
              <w:rPr>
                <w:rFonts w:ascii="Arial" w:hAnsi="Arial" w:cs="Arial"/>
                <w:color w:val="010000"/>
                <w:sz w:val="20"/>
              </w:rPr>
              <w:t xml:space="preserve">Shares </w:t>
            </w:r>
            <w:r>
              <w:rPr>
                <w:rFonts w:ascii="Arial" w:hAnsi="Arial" w:cs="Arial"/>
                <w:color w:val="010000"/>
                <w:sz w:val="20"/>
              </w:rPr>
              <w:t>expected</w:t>
            </w:r>
            <w:r w:rsidRPr="00D8277B">
              <w:rPr>
                <w:rFonts w:ascii="Arial" w:hAnsi="Arial" w:cs="Arial"/>
                <w:color w:val="010000"/>
                <w:sz w:val="20"/>
              </w:rPr>
              <w:t xml:space="preserve"> to be allocated (shares)</w:t>
            </w:r>
          </w:p>
        </w:tc>
        <w:tc>
          <w:tcPr>
            <w:tcW w:w="589" w:type="pct"/>
            <w:vMerge w:val="restart"/>
            <w:tcBorders>
              <w:top w:val="single" w:sz="4" w:space="0" w:color="000000"/>
              <w:left w:val="single" w:sz="4" w:space="0" w:color="000000"/>
              <w:right w:val="single" w:sz="4" w:space="0" w:color="000000"/>
            </w:tcBorders>
            <w:shd w:val="clear" w:color="auto" w:fill="auto"/>
            <w:tcMar>
              <w:top w:w="0" w:type="dxa"/>
              <w:bottom w:w="0" w:type="dxa"/>
            </w:tcMar>
            <w:vAlign w:val="center"/>
          </w:tcPr>
          <w:p w:rsidR="006F1553" w:rsidRPr="00D8277B" w:rsidRDefault="00D8277B" w:rsidP="00B42BFB">
            <w:pPr>
              <w:pBdr>
                <w:top w:val="nil"/>
                <w:left w:val="nil"/>
                <w:bottom w:val="nil"/>
                <w:right w:val="nil"/>
                <w:between w:val="nil"/>
              </w:pBdr>
              <w:spacing w:after="120" w:line="360" w:lineRule="auto"/>
              <w:jc w:val="both"/>
              <w:rPr>
                <w:rFonts w:ascii="Arial" w:eastAsia="Arial" w:hAnsi="Arial" w:cs="Arial"/>
                <w:color w:val="010000"/>
                <w:sz w:val="20"/>
                <w:szCs w:val="20"/>
              </w:rPr>
            </w:pPr>
            <w:r w:rsidRPr="00D8277B">
              <w:rPr>
                <w:rFonts w:ascii="Arial" w:hAnsi="Arial" w:cs="Arial"/>
                <w:color w:val="010000"/>
                <w:sz w:val="20"/>
              </w:rPr>
              <w:t>Expected ownership rate after offering (%)</w:t>
            </w:r>
          </w:p>
        </w:tc>
      </w:tr>
      <w:tr w:rsidR="006F1553" w:rsidRPr="00D8277B" w:rsidTr="00E273F0">
        <w:tc>
          <w:tcPr>
            <w:tcW w:w="180" w:type="pct"/>
            <w:vMerge/>
            <w:tcBorders>
              <w:top w:val="single" w:sz="4" w:space="0" w:color="000000"/>
              <w:left w:val="single" w:sz="4" w:space="0" w:color="000000"/>
            </w:tcBorders>
            <w:shd w:val="clear" w:color="auto" w:fill="auto"/>
            <w:tcMar>
              <w:top w:w="0" w:type="dxa"/>
              <w:bottom w:w="0" w:type="dxa"/>
            </w:tcMar>
            <w:vAlign w:val="center"/>
          </w:tcPr>
          <w:p w:rsidR="006F1553" w:rsidRPr="00D8277B" w:rsidRDefault="006F1553" w:rsidP="00B42BFB">
            <w:pPr>
              <w:pBdr>
                <w:top w:val="nil"/>
                <w:left w:val="nil"/>
                <w:bottom w:val="nil"/>
                <w:right w:val="nil"/>
                <w:between w:val="nil"/>
              </w:pBdr>
              <w:spacing w:after="120" w:line="360" w:lineRule="auto"/>
              <w:jc w:val="both"/>
              <w:rPr>
                <w:rFonts w:ascii="Arial" w:eastAsia="Arial" w:hAnsi="Arial" w:cs="Arial"/>
                <w:color w:val="010000"/>
                <w:sz w:val="20"/>
                <w:szCs w:val="20"/>
              </w:rPr>
            </w:pPr>
          </w:p>
        </w:tc>
        <w:tc>
          <w:tcPr>
            <w:tcW w:w="640" w:type="pct"/>
            <w:vMerge/>
            <w:tcBorders>
              <w:top w:val="single" w:sz="4" w:space="0" w:color="000000"/>
              <w:left w:val="single" w:sz="4" w:space="0" w:color="000000"/>
            </w:tcBorders>
            <w:shd w:val="clear" w:color="auto" w:fill="auto"/>
            <w:tcMar>
              <w:top w:w="0" w:type="dxa"/>
              <w:bottom w:w="0" w:type="dxa"/>
            </w:tcMar>
            <w:vAlign w:val="center"/>
          </w:tcPr>
          <w:p w:rsidR="006F1553" w:rsidRPr="00D8277B" w:rsidRDefault="006F1553" w:rsidP="00B42BFB">
            <w:pPr>
              <w:pBdr>
                <w:top w:val="nil"/>
                <w:left w:val="nil"/>
                <w:bottom w:val="nil"/>
                <w:right w:val="nil"/>
                <w:between w:val="nil"/>
              </w:pBdr>
              <w:spacing w:after="120" w:line="360" w:lineRule="auto"/>
              <w:jc w:val="both"/>
              <w:rPr>
                <w:rFonts w:ascii="Arial" w:eastAsia="Arial" w:hAnsi="Arial" w:cs="Arial"/>
                <w:color w:val="010000"/>
                <w:sz w:val="20"/>
                <w:szCs w:val="20"/>
              </w:rPr>
            </w:pPr>
          </w:p>
        </w:tc>
        <w:tc>
          <w:tcPr>
            <w:tcW w:w="731" w:type="pct"/>
            <w:vMerge/>
            <w:tcBorders>
              <w:top w:val="single" w:sz="4" w:space="0" w:color="000000"/>
              <w:left w:val="single" w:sz="4" w:space="0" w:color="000000"/>
            </w:tcBorders>
            <w:shd w:val="clear" w:color="auto" w:fill="auto"/>
            <w:tcMar>
              <w:top w:w="0" w:type="dxa"/>
              <w:bottom w:w="0" w:type="dxa"/>
            </w:tcMar>
            <w:vAlign w:val="center"/>
          </w:tcPr>
          <w:p w:rsidR="006F1553" w:rsidRPr="00D8277B" w:rsidRDefault="006F1553" w:rsidP="00B42BFB">
            <w:pPr>
              <w:pBdr>
                <w:top w:val="nil"/>
                <w:left w:val="nil"/>
                <w:bottom w:val="nil"/>
                <w:right w:val="nil"/>
                <w:between w:val="nil"/>
              </w:pBdr>
              <w:spacing w:after="120" w:line="360" w:lineRule="auto"/>
              <w:jc w:val="both"/>
              <w:rPr>
                <w:rFonts w:ascii="Arial" w:eastAsia="Arial" w:hAnsi="Arial" w:cs="Arial"/>
                <w:color w:val="010000"/>
                <w:sz w:val="20"/>
                <w:szCs w:val="20"/>
              </w:rPr>
            </w:pPr>
          </w:p>
        </w:tc>
        <w:tc>
          <w:tcPr>
            <w:tcW w:w="1018" w:type="pct"/>
            <w:tcBorders>
              <w:top w:val="single" w:sz="4" w:space="0" w:color="000000"/>
              <w:left w:val="single" w:sz="4" w:space="0" w:color="000000"/>
            </w:tcBorders>
            <w:shd w:val="clear" w:color="auto" w:fill="auto"/>
            <w:tcMar>
              <w:top w:w="0" w:type="dxa"/>
              <w:bottom w:w="0" w:type="dxa"/>
            </w:tcMar>
            <w:vAlign w:val="center"/>
          </w:tcPr>
          <w:p w:rsidR="006F1553" w:rsidRPr="00D8277B" w:rsidRDefault="00D8277B" w:rsidP="00B42BFB">
            <w:pPr>
              <w:pBdr>
                <w:top w:val="nil"/>
                <w:left w:val="nil"/>
                <w:bottom w:val="nil"/>
                <w:right w:val="nil"/>
                <w:between w:val="nil"/>
              </w:pBdr>
              <w:spacing w:after="120" w:line="360" w:lineRule="auto"/>
              <w:jc w:val="both"/>
              <w:rPr>
                <w:rFonts w:ascii="Arial" w:eastAsia="Arial" w:hAnsi="Arial" w:cs="Arial"/>
                <w:color w:val="010000"/>
                <w:sz w:val="20"/>
                <w:szCs w:val="20"/>
              </w:rPr>
            </w:pPr>
            <w:r w:rsidRPr="00D8277B">
              <w:rPr>
                <w:rFonts w:ascii="Arial" w:hAnsi="Arial" w:cs="Arial"/>
                <w:color w:val="010000"/>
                <w:sz w:val="20"/>
              </w:rPr>
              <w:t>Strategic Investor/Professional Investor</w:t>
            </w:r>
          </w:p>
        </w:tc>
        <w:tc>
          <w:tcPr>
            <w:tcW w:w="946" w:type="pct"/>
            <w:tcBorders>
              <w:top w:val="single" w:sz="4" w:space="0" w:color="000000"/>
              <w:left w:val="single" w:sz="4" w:space="0" w:color="000000"/>
            </w:tcBorders>
            <w:shd w:val="clear" w:color="auto" w:fill="auto"/>
            <w:tcMar>
              <w:top w:w="0" w:type="dxa"/>
              <w:bottom w:w="0" w:type="dxa"/>
            </w:tcMar>
            <w:vAlign w:val="center"/>
          </w:tcPr>
          <w:p w:rsidR="006F1553" w:rsidRPr="00D8277B" w:rsidRDefault="00D8277B" w:rsidP="00B42BFB">
            <w:pPr>
              <w:pBdr>
                <w:top w:val="nil"/>
                <w:left w:val="nil"/>
                <w:bottom w:val="nil"/>
                <w:right w:val="nil"/>
                <w:between w:val="nil"/>
              </w:pBdr>
              <w:spacing w:after="120" w:line="360" w:lineRule="auto"/>
              <w:jc w:val="both"/>
              <w:rPr>
                <w:rFonts w:ascii="Arial" w:eastAsia="Arial" w:hAnsi="Arial" w:cs="Arial"/>
                <w:color w:val="010000"/>
                <w:sz w:val="20"/>
                <w:szCs w:val="20"/>
              </w:rPr>
            </w:pPr>
            <w:r w:rsidRPr="00D8277B">
              <w:rPr>
                <w:rFonts w:ascii="Arial" w:hAnsi="Arial" w:cs="Arial"/>
                <w:color w:val="010000"/>
                <w:sz w:val="20"/>
              </w:rPr>
              <w:t>Foreign investors/Economic organizations with foreign investors owning more than 50% of charter capital/Domestic investors</w:t>
            </w:r>
          </w:p>
        </w:tc>
        <w:tc>
          <w:tcPr>
            <w:tcW w:w="407" w:type="pct"/>
            <w:vMerge/>
            <w:tcBorders>
              <w:top w:val="single" w:sz="4" w:space="0" w:color="000000"/>
              <w:left w:val="single" w:sz="4" w:space="0" w:color="000000"/>
            </w:tcBorders>
            <w:shd w:val="clear" w:color="auto" w:fill="auto"/>
            <w:tcMar>
              <w:top w:w="0" w:type="dxa"/>
              <w:bottom w:w="0" w:type="dxa"/>
            </w:tcMar>
            <w:vAlign w:val="center"/>
          </w:tcPr>
          <w:p w:rsidR="006F1553" w:rsidRPr="00D8277B" w:rsidRDefault="006F1553" w:rsidP="00B42BFB">
            <w:pPr>
              <w:pBdr>
                <w:top w:val="nil"/>
                <w:left w:val="nil"/>
                <w:bottom w:val="nil"/>
                <w:right w:val="nil"/>
                <w:between w:val="nil"/>
              </w:pBdr>
              <w:spacing w:after="120" w:line="360" w:lineRule="auto"/>
              <w:jc w:val="both"/>
              <w:rPr>
                <w:rFonts w:ascii="Arial" w:eastAsia="Arial" w:hAnsi="Arial" w:cs="Arial"/>
                <w:color w:val="010000"/>
                <w:sz w:val="20"/>
                <w:szCs w:val="20"/>
              </w:rPr>
            </w:pPr>
          </w:p>
        </w:tc>
        <w:tc>
          <w:tcPr>
            <w:tcW w:w="490" w:type="pct"/>
            <w:vMerge/>
            <w:tcBorders>
              <w:top w:val="single" w:sz="4" w:space="0" w:color="000000"/>
              <w:left w:val="single" w:sz="4" w:space="0" w:color="000000"/>
            </w:tcBorders>
            <w:shd w:val="clear" w:color="auto" w:fill="auto"/>
            <w:tcMar>
              <w:top w:w="0" w:type="dxa"/>
              <w:bottom w:w="0" w:type="dxa"/>
            </w:tcMar>
            <w:vAlign w:val="center"/>
          </w:tcPr>
          <w:p w:rsidR="006F1553" w:rsidRPr="00D8277B" w:rsidRDefault="006F1553" w:rsidP="00B42BFB">
            <w:pPr>
              <w:pBdr>
                <w:top w:val="nil"/>
                <w:left w:val="nil"/>
                <w:bottom w:val="nil"/>
                <w:right w:val="nil"/>
                <w:between w:val="nil"/>
              </w:pBdr>
              <w:spacing w:after="120" w:line="360" w:lineRule="auto"/>
              <w:jc w:val="both"/>
              <w:rPr>
                <w:rFonts w:ascii="Arial" w:eastAsia="Arial" w:hAnsi="Arial" w:cs="Arial"/>
                <w:color w:val="010000"/>
                <w:sz w:val="20"/>
                <w:szCs w:val="20"/>
              </w:rPr>
            </w:pPr>
          </w:p>
        </w:tc>
        <w:tc>
          <w:tcPr>
            <w:tcW w:w="589" w:type="pct"/>
            <w:vMerge/>
            <w:tcBorders>
              <w:top w:val="single" w:sz="4" w:space="0" w:color="000000"/>
              <w:left w:val="single" w:sz="4" w:space="0" w:color="000000"/>
              <w:right w:val="single" w:sz="4" w:space="0" w:color="000000"/>
            </w:tcBorders>
            <w:shd w:val="clear" w:color="auto" w:fill="auto"/>
            <w:tcMar>
              <w:top w:w="0" w:type="dxa"/>
              <w:bottom w:w="0" w:type="dxa"/>
            </w:tcMar>
            <w:vAlign w:val="center"/>
          </w:tcPr>
          <w:p w:rsidR="006F1553" w:rsidRPr="00D8277B" w:rsidRDefault="006F1553" w:rsidP="00B42BFB">
            <w:pPr>
              <w:pBdr>
                <w:top w:val="nil"/>
                <w:left w:val="nil"/>
                <w:bottom w:val="nil"/>
                <w:right w:val="nil"/>
                <w:between w:val="nil"/>
              </w:pBdr>
              <w:spacing w:after="120" w:line="360" w:lineRule="auto"/>
              <w:jc w:val="both"/>
              <w:rPr>
                <w:rFonts w:ascii="Arial" w:eastAsia="Arial" w:hAnsi="Arial" w:cs="Arial"/>
                <w:color w:val="010000"/>
                <w:sz w:val="20"/>
                <w:szCs w:val="20"/>
              </w:rPr>
            </w:pPr>
          </w:p>
        </w:tc>
      </w:tr>
      <w:tr w:rsidR="006F1553" w:rsidRPr="00D8277B" w:rsidTr="00E273F0">
        <w:tc>
          <w:tcPr>
            <w:tcW w:w="180" w:type="pct"/>
            <w:tcBorders>
              <w:top w:val="single" w:sz="4" w:space="0" w:color="000000"/>
              <w:left w:val="single" w:sz="4" w:space="0" w:color="000000"/>
            </w:tcBorders>
            <w:shd w:val="clear" w:color="auto" w:fill="auto"/>
            <w:tcMar>
              <w:top w:w="0" w:type="dxa"/>
              <w:bottom w:w="0" w:type="dxa"/>
            </w:tcMar>
            <w:vAlign w:val="center"/>
          </w:tcPr>
          <w:p w:rsidR="006F1553" w:rsidRPr="00D8277B" w:rsidRDefault="00D8277B" w:rsidP="00B42BFB">
            <w:pPr>
              <w:pBdr>
                <w:top w:val="nil"/>
                <w:left w:val="nil"/>
                <w:bottom w:val="nil"/>
                <w:right w:val="nil"/>
                <w:between w:val="nil"/>
              </w:pBdr>
              <w:spacing w:after="120" w:line="360" w:lineRule="auto"/>
              <w:jc w:val="both"/>
              <w:rPr>
                <w:rFonts w:ascii="Arial" w:eastAsia="Arial" w:hAnsi="Arial" w:cs="Arial"/>
                <w:color w:val="010000"/>
                <w:sz w:val="20"/>
                <w:szCs w:val="20"/>
              </w:rPr>
            </w:pPr>
            <w:r w:rsidRPr="00D8277B">
              <w:rPr>
                <w:rFonts w:ascii="Arial" w:hAnsi="Arial" w:cs="Arial"/>
                <w:color w:val="010000"/>
                <w:sz w:val="20"/>
              </w:rPr>
              <w:t>1</w:t>
            </w:r>
          </w:p>
        </w:tc>
        <w:tc>
          <w:tcPr>
            <w:tcW w:w="640" w:type="pct"/>
            <w:tcBorders>
              <w:top w:val="single" w:sz="4" w:space="0" w:color="000000"/>
              <w:left w:val="single" w:sz="4" w:space="0" w:color="000000"/>
            </w:tcBorders>
            <w:shd w:val="clear" w:color="auto" w:fill="auto"/>
            <w:tcMar>
              <w:top w:w="0" w:type="dxa"/>
              <w:bottom w:w="0" w:type="dxa"/>
            </w:tcMar>
            <w:vAlign w:val="center"/>
          </w:tcPr>
          <w:p w:rsidR="006F1553" w:rsidRPr="00D8277B" w:rsidRDefault="00D8277B" w:rsidP="00B42BFB">
            <w:pPr>
              <w:pBdr>
                <w:top w:val="nil"/>
                <w:left w:val="nil"/>
                <w:bottom w:val="nil"/>
                <w:right w:val="nil"/>
                <w:between w:val="nil"/>
              </w:pBdr>
              <w:spacing w:after="120" w:line="360" w:lineRule="auto"/>
              <w:jc w:val="both"/>
              <w:rPr>
                <w:rFonts w:ascii="Arial" w:eastAsia="Arial" w:hAnsi="Arial" w:cs="Arial"/>
                <w:color w:val="010000"/>
                <w:sz w:val="20"/>
                <w:szCs w:val="20"/>
              </w:rPr>
            </w:pPr>
            <w:proofErr w:type="spellStart"/>
            <w:r w:rsidRPr="00D8277B">
              <w:rPr>
                <w:rFonts w:ascii="Arial" w:hAnsi="Arial" w:cs="Arial"/>
                <w:color w:val="010000"/>
                <w:sz w:val="20"/>
              </w:rPr>
              <w:t>VietinBank</w:t>
            </w:r>
            <w:proofErr w:type="spellEnd"/>
            <w:r w:rsidRPr="00D8277B">
              <w:rPr>
                <w:rFonts w:ascii="Arial" w:hAnsi="Arial" w:cs="Arial"/>
                <w:color w:val="010000"/>
                <w:sz w:val="20"/>
              </w:rPr>
              <w:t xml:space="preserve"> </w:t>
            </w:r>
            <w:r w:rsidRPr="00D8277B">
              <w:rPr>
                <w:rFonts w:ascii="Arial" w:hAnsi="Arial" w:cs="Arial"/>
                <w:color w:val="010000"/>
                <w:sz w:val="20"/>
              </w:rPr>
              <w:lastRenderedPageBreak/>
              <w:t>Fund Management Company Limited</w:t>
            </w:r>
          </w:p>
        </w:tc>
        <w:tc>
          <w:tcPr>
            <w:tcW w:w="731" w:type="pct"/>
            <w:tcBorders>
              <w:top w:val="single" w:sz="4" w:space="0" w:color="000000"/>
              <w:left w:val="single" w:sz="4" w:space="0" w:color="000000"/>
            </w:tcBorders>
            <w:shd w:val="clear" w:color="auto" w:fill="auto"/>
            <w:tcMar>
              <w:top w:w="0" w:type="dxa"/>
              <w:bottom w:w="0" w:type="dxa"/>
            </w:tcMar>
            <w:vAlign w:val="center"/>
          </w:tcPr>
          <w:p w:rsidR="006F1553" w:rsidRPr="00D8277B" w:rsidRDefault="00D8277B" w:rsidP="00B42BFB">
            <w:pPr>
              <w:pBdr>
                <w:top w:val="nil"/>
                <w:left w:val="nil"/>
                <w:bottom w:val="nil"/>
                <w:right w:val="nil"/>
                <w:between w:val="nil"/>
              </w:pBdr>
              <w:spacing w:after="120" w:line="360" w:lineRule="auto"/>
              <w:jc w:val="both"/>
              <w:rPr>
                <w:rFonts w:ascii="Arial" w:eastAsia="Arial" w:hAnsi="Arial" w:cs="Arial"/>
                <w:color w:val="010000"/>
                <w:sz w:val="20"/>
                <w:szCs w:val="20"/>
              </w:rPr>
            </w:pPr>
            <w:r w:rsidRPr="00D8277B">
              <w:rPr>
                <w:rFonts w:ascii="Arial" w:hAnsi="Arial" w:cs="Arial"/>
                <w:color w:val="010000"/>
                <w:sz w:val="20"/>
              </w:rPr>
              <w:lastRenderedPageBreak/>
              <w:t>50/UBCK-GP</w:t>
            </w:r>
          </w:p>
        </w:tc>
        <w:tc>
          <w:tcPr>
            <w:tcW w:w="1018" w:type="pct"/>
            <w:tcBorders>
              <w:top w:val="single" w:sz="4" w:space="0" w:color="000000"/>
              <w:left w:val="single" w:sz="4" w:space="0" w:color="000000"/>
            </w:tcBorders>
            <w:shd w:val="clear" w:color="auto" w:fill="auto"/>
            <w:tcMar>
              <w:top w:w="0" w:type="dxa"/>
              <w:bottom w:w="0" w:type="dxa"/>
            </w:tcMar>
            <w:vAlign w:val="center"/>
          </w:tcPr>
          <w:p w:rsidR="006F1553" w:rsidRPr="00D8277B" w:rsidRDefault="00D8277B" w:rsidP="00B42BFB">
            <w:pPr>
              <w:pBdr>
                <w:top w:val="nil"/>
                <w:left w:val="nil"/>
                <w:bottom w:val="nil"/>
                <w:right w:val="nil"/>
                <w:between w:val="nil"/>
              </w:pBdr>
              <w:spacing w:after="120" w:line="360" w:lineRule="auto"/>
              <w:jc w:val="both"/>
              <w:rPr>
                <w:rFonts w:ascii="Arial" w:eastAsia="Arial" w:hAnsi="Arial" w:cs="Arial"/>
                <w:color w:val="010000"/>
                <w:sz w:val="20"/>
                <w:szCs w:val="20"/>
              </w:rPr>
            </w:pPr>
            <w:r w:rsidRPr="00D8277B">
              <w:rPr>
                <w:rFonts w:ascii="Arial" w:hAnsi="Arial" w:cs="Arial"/>
                <w:color w:val="010000"/>
                <w:sz w:val="20"/>
              </w:rPr>
              <w:t>Professional Investor</w:t>
            </w:r>
          </w:p>
        </w:tc>
        <w:tc>
          <w:tcPr>
            <w:tcW w:w="946" w:type="pct"/>
            <w:tcBorders>
              <w:top w:val="single" w:sz="4" w:space="0" w:color="000000"/>
              <w:left w:val="single" w:sz="4" w:space="0" w:color="000000"/>
            </w:tcBorders>
            <w:shd w:val="clear" w:color="auto" w:fill="auto"/>
            <w:tcMar>
              <w:top w:w="0" w:type="dxa"/>
              <w:bottom w:w="0" w:type="dxa"/>
            </w:tcMar>
            <w:vAlign w:val="center"/>
          </w:tcPr>
          <w:p w:rsidR="006F1553" w:rsidRPr="00D8277B" w:rsidRDefault="00D8277B" w:rsidP="00B42BFB">
            <w:pPr>
              <w:pBdr>
                <w:top w:val="nil"/>
                <w:left w:val="nil"/>
                <w:bottom w:val="nil"/>
                <w:right w:val="nil"/>
                <w:between w:val="nil"/>
              </w:pBdr>
              <w:spacing w:after="120" w:line="360" w:lineRule="auto"/>
              <w:jc w:val="both"/>
              <w:rPr>
                <w:rFonts w:ascii="Arial" w:eastAsia="Arial" w:hAnsi="Arial" w:cs="Arial"/>
                <w:color w:val="010000"/>
                <w:sz w:val="20"/>
                <w:szCs w:val="20"/>
              </w:rPr>
            </w:pPr>
            <w:r w:rsidRPr="00D8277B">
              <w:rPr>
                <w:rFonts w:ascii="Arial" w:hAnsi="Arial" w:cs="Arial"/>
                <w:color w:val="010000"/>
                <w:sz w:val="20"/>
              </w:rPr>
              <w:t>Domestic Investor</w:t>
            </w:r>
          </w:p>
        </w:tc>
        <w:tc>
          <w:tcPr>
            <w:tcW w:w="407" w:type="pct"/>
            <w:tcBorders>
              <w:top w:val="single" w:sz="4" w:space="0" w:color="000000"/>
              <w:left w:val="single" w:sz="4" w:space="0" w:color="000000"/>
            </w:tcBorders>
            <w:shd w:val="clear" w:color="auto" w:fill="auto"/>
            <w:tcMar>
              <w:top w:w="0" w:type="dxa"/>
              <w:bottom w:w="0" w:type="dxa"/>
            </w:tcMar>
            <w:vAlign w:val="center"/>
          </w:tcPr>
          <w:p w:rsidR="006F1553" w:rsidRPr="00D8277B" w:rsidRDefault="00D8277B" w:rsidP="00B42BFB">
            <w:pPr>
              <w:pBdr>
                <w:top w:val="nil"/>
                <w:left w:val="nil"/>
                <w:bottom w:val="nil"/>
                <w:right w:val="nil"/>
                <w:between w:val="nil"/>
              </w:pBdr>
              <w:spacing w:after="120" w:line="360" w:lineRule="auto"/>
              <w:jc w:val="both"/>
              <w:rPr>
                <w:rFonts w:ascii="Arial" w:eastAsia="Arial" w:hAnsi="Arial" w:cs="Arial"/>
                <w:color w:val="010000"/>
                <w:sz w:val="20"/>
                <w:szCs w:val="20"/>
              </w:rPr>
            </w:pPr>
            <w:r w:rsidRPr="00D8277B">
              <w:rPr>
                <w:rFonts w:ascii="Arial" w:hAnsi="Arial" w:cs="Arial"/>
                <w:color w:val="010000"/>
                <w:sz w:val="20"/>
              </w:rPr>
              <w:t>0</w:t>
            </w:r>
          </w:p>
        </w:tc>
        <w:tc>
          <w:tcPr>
            <w:tcW w:w="490" w:type="pct"/>
            <w:tcBorders>
              <w:top w:val="single" w:sz="4" w:space="0" w:color="000000"/>
              <w:left w:val="single" w:sz="4" w:space="0" w:color="000000"/>
            </w:tcBorders>
            <w:shd w:val="clear" w:color="auto" w:fill="auto"/>
            <w:tcMar>
              <w:top w:w="0" w:type="dxa"/>
              <w:bottom w:w="0" w:type="dxa"/>
            </w:tcMar>
            <w:vAlign w:val="center"/>
          </w:tcPr>
          <w:p w:rsidR="006F1553" w:rsidRPr="00D8277B" w:rsidRDefault="00D8277B" w:rsidP="00B42BFB">
            <w:pPr>
              <w:pBdr>
                <w:top w:val="nil"/>
                <w:left w:val="nil"/>
                <w:bottom w:val="nil"/>
                <w:right w:val="nil"/>
                <w:between w:val="nil"/>
              </w:pBdr>
              <w:spacing w:after="120" w:line="360" w:lineRule="auto"/>
              <w:jc w:val="both"/>
              <w:rPr>
                <w:rFonts w:ascii="Arial" w:eastAsia="Arial" w:hAnsi="Arial" w:cs="Arial"/>
                <w:color w:val="010000"/>
                <w:sz w:val="20"/>
                <w:szCs w:val="20"/>
              </w:rPr>
            </w:pPr>
            <w:r w:rsidRPr="00D8277B">
              <w:rPr>
                <w:rFonts w:ascii="Arial" w:hAnsi="Arial" w:cs="Arial"/>
                <w:color w:val="010000"/>
                <w:sz w:val="20"/>
              </w:rPr>
              <w:t>1,500,000</w:t>
            </w:r>
          </w:p>
        </w:tc>
        <w:tc>
          <w:tcPr>
            <w:tcW w:w="589" w:type="pct"/>
            <w:tcBorders>
              <w:top w:val="single" w:sz="4" w:space="0" w:color="000000"/>
              <w:left w:val="single" w:sz="4" w:space="0" w:color="000000"/>
              <w:right w:val="single" w:sz="4" w:space="0" w:color="000000"/>
            </w:tcBorders>
            <w:shd w:val="clear" w:color="auto" w:fill="auto"/>
            <w:tcMar>
              <w:top w:w="0" w:type="dxa"/>
              <w:bottom w:w="0" w:type="dxa"/>
            </w:tcMar>
            <w:vAlign w:val="center"/>
          </w:tcPr>
          <w:p w:rsidR="006F1553" w:rsidRPr="00D8277B" w:rsidRDefault="00D8277B" w:rsidP="00B42BFB">
            <w:pPr>
              <w:pBdr>
                <w:top w:val="nil"/>
                <w:left w:val="nil"/>
                <w:bottom w:val="nil"/>
                <w:right w:val="nil"/>
                <w:between w:val="nil"/>
              </w:pBdr>
              <w:spacing w:after="120" w:line="360" w:lineRule="auto"/>
              <w:jc w:val="both"/>
              <w:rPr>
                <w:rFonts w:ascii="Arial" w:eastAsia="Arial" w:hAnsi="Arial" w:cs="Arial"/>
                <w:color w:val="010000"/>
                <w:sz w:val="20"/>
                <w:szCs w:val="20"/>
              </w:rPr>
            </w:pPr>
            <w:r w:rsidRPr="00D8277B">
              <w:rPr>
                <w:rFonts w:ascii="Arial" w:hAnsi="Arial" w:cs="Arial"/>
                <w:color w:val="010000"/>
                <w:sz w:val="20"/>
              </w:rPr>
              <w:t>30%</w:t>
            </w:r>
          </w:p>
        </w:tc>
      </w:tr>
      <w:tr w:rsidR="006F1553" w:rsidRPr="00D8277B" w:rsidTr="00E273F0">
        <w:tc>
          <w:tcPr>
            <w:tcW w:w="180" w:type="pct"/>
            <w:tcBorders>
              <w:top w:val="single" w:sz="4" w:space="0" w:color="000000"/>
              <w:left w:val="single" w:sz="4" w:space="0" w:color="000000"/>
              <w:bottom w:val="single" w:sz="4" w:space="0" w:color="000000"/>
            </w:tcBorders>
            <w:shd w:val="clear" w:color="auto" w:fill="auto"/>
            <w:tcMar>
              <w:top w:w="0" w:type="dxa"/>
              <w:bottom w:w="0" w:type="dxa"/>
            </w:tcMar>
            <w:vAlign w:val="center"/>
          </w:tcPr>
          <w:p w:rsidR="006F1553" w:rsidRPr="00D8277B" w:rsidRDefault="00D8277B" w:rsidP="00B42BFB">
            <w:pPr>
              <w:pBdr>
                <w:top w:val="nil"/>
                <w:left w:val="nil"/>
                <w:bottom w:val="nil"/>
                <w:right w:val="nil"/>
                <w:between w:val="nil"/>
              </w:pBdr>
              <w:spacing w:after="120" w:line="360" w:lineRule="auto"/>
              <w:jc w:val="both"/>
              <w:rPr>
                <w:rFonts w:ascii="Arial" w:eastAsia="Arial" w:hAnsi="Arial" w:cs="Arial"/>
                <w:color w:val="010000"/>
                <w:sz w:val="20"/>
                <w:szCs w:val="20"/>
              </w:rPr>
            </w:pPr>
            <w:r w:rsidRPr="00D8277B">
              <w:rPr>
                <w:rFonts w:ascii="Arial" w:hAnsi="Arial" w:cs="Arial"/>
                <w:color w:val="010000"/>
                <w:sz w:val="20"/>
              </w:rPr>
              <w:lastRenderedPageBreak/>
              <w:t>2</w:t>
            </w:r>
          </w:p>
        </w:tc>
        <w:tc>
          <w:tcPr>
            <w:tcW w:w="640" w:type="pct"/>
            <w:tcBorders>
              <w:top w:val="single" w:sz="4" w:space="0" w:color="000000"/>
              <w:left w:val="single" w:sz="4" w:space="0" w:color="000000"/>
              <w:bottom w:val="single" w:sz="4" w:space="0" w:color="000000"/>
            </w:tcBorders>
            <w:shd w:val="clear" w:color="auto" w:fill="auto"/>
            <w:tcMar>
              <w:top w:w="0" w:type="dxa"/>
              <w:bottom w:w="0" w:type="dxa"/>
            </w:tcMar>
            <w:vAlign w:val="center"/>
          </w:tcPr>
          <w:p w:rsidR="006F1553" w:rsidRPr="00D8277B" w:rsidRDefault="00D8277B" w:rsidP="00B42BFB">
            <w:pPr>
              <w:pBdr>
                <w:top w:val="nil"/>
                <w:left w:val="nil"/>
                <w:bottom w:val="nil"/>
                <w:right w:val="nil"/>
                <w:between w:val="nil"/>
              </w:pBdr>
              <w:spacing w:after="120" w:line="360" w:lineRule="auto"/>
              <w:jc w:val="both"/>
              <w:rPr>
                <w:rFonts w:ascii="Arial" w:eastAsia="Arial" w:hAnsi="Arial" w:cs="Arial"/>
                <w:color w:val="010000"/>
                <w:sz w:val="20"/>
                <w:szCs w:val="20"/>
              </w:rPr>
            </w:pPr>
            <w:r w:rsidRPr="00D8277B">
              <w:rPr>
                <w:rFonts w:ascii="Arial" w:hAnsi="Arial" w:cs="Arial"/>
                <w:color w:val="010000"/>
                <w:sz w:val="20"/>
              </w:rPr>
              <w:t xml:space="preserve">Nguyen </w:t>
            </w:r>
            <w:proofErr w:type="spellStart"/>
            <w:r w:rsidRPr="00D8277B">
              <w:rPr>
                <w:rFonts w:ascii="Arial" w:hAnsi="Arial" w:cs="Arial"/>
                <w:color w:val="010000"/>
                <w:sz w:val="20"/>
              </w:rPr>
              <w:t>Phuc</w:t>
            </w:r>
            <w:proofErr w:type="spellEnd"/>
            <w:r w:rsidRPr="00D8277B">
              <w:rPr>
                <w:rFonts w:ascii="Arial" w:hAnsi="Arial" w:cs="Arial"/>
                <w:color w:val="010000"/>
                <w:sz w:val="20"/>
              </w:rPr>
              <w:t xml:space="preserve"> </w:t>
            </w:r>
            <w:proofErr w:type="spellStart"/>
            <w:r w:rsidRPr="00D8277B">
              <w:rPr>
                <w:rFonts w:ascii="Arial" w:hAnsi="Arial" w:cs="Arial"/>
                <w:color w:val="010000"/>
                <w:sz w:val="20"/>
              </w:rPr>
              <w:t>Loi</w:t>
            </w:r>
            <w:proofErr w:type="spellEnd"/>
          </w:p>
        </w:tc>
        <w:tc>
          <w:tcPr>
            <w:tcW w:w="731" w:type="pct"/>
            <w:tcBorders>
              <w:top w:val="single" w:sz="4" w:space="0" w:color="000000"/>
              <w:left w:val="single" w:sz="4" w:space="0" w:color="000000"/>
              <w:bottom w:val="single" w:sz="4" w:space="0" w:color="000000"/>
            </w:tcBorders>
            <w:shd w:val="clear" w:color="auto" w:fill="auto"/>
            <w:tcMar>
              <w:top w:w="0" w:type="dxa"/>
              <w:bottom w:w="0" w:type="dxa"/>
            </w:tcMar>
            <w:vAlign w:val="center"/>
          </w:tcPr>
          <w:p w:rsidR="006F1553" w:rsidRPr="00D8277B" w:rsidRDefault="00D8277B" w:rsidP="00B42BFB">
            <w:pPr>
              <w:pBdr>
                <w:top w:val="nil"/>
                <w:left w:val="nil"/>
                <w:bottom w:val="nil"/>
                <w:right w:val="nil"/>
                <w:between w:val="nil"/>
              </w:pBdr>
              <w:spacing w:after="120" w:line="360" w:lineRule="auto"/>
              <w:jc w:val="both"/>
              <w:rPr>
                <w:rFonts w:ascii="Arial" w:eastAsia="Arial" w:hAnsi="Arial" w:cs="Arial"/>
                <w:color w:val="010000"/>
                <w:sz w:val="20"/>
                <w:szCs w:val="20"/>
              </w:rPr>
            </w:pPr>
            <w:r w:rsidRPr="00D8277B">
              <w:rPr>
                <w:rFonts w:ascii="Arial" w:hAnsi="Arial" w:cs="Arial"/>
                <w:color w:val="010000"/>
                <w:sz w:val="20"/>
              </w:rPr>
              <w:t>052087000202</w:t>
            </w:r>
          </w:p>
        </w:tc>
        <w:tc>
          <w:tcPr>
            <w:tcW w:w="1018" w:type="pct"/>
            <w:tcBorders>
              <w:top w:val="single" w:sz="4" w:space="0" w:color="000000"/>
              <w:left w:val="single" w:sz="4" w:space="0" w:color="000000"/>
              <w:bottom w:val="single" w:sz="4" w:space="0" w:color="000000"/>
            </w:tcBorders>
            <w:shd w:val="clear" w:color="auto" w:fill="auto"/>
            <w:tcMar>
              <w:top w:w="0" w:type="dxa"/>
              <w:bottom w:w="0" w:type="dxa"/>
            </w:tcMar>
            <w:vAlign w:val="center"/>
          </w:tcPr>
          <w:p w:rsidR="006F1553" w:rsidRPr="00D8277B" w:rsidRDefault="00D8277B" w:rsidP="00B42BFB">
            <w:pPr>
              <w:pBdr>
                <w:top w:val="nil"/>
                <w:left w:val="nil"/>
                <w:bottom w:val="nil"/>
                <w:right w:val="nil"/>
                <w:between w:val="nil"/>
              </w:pBdr>
              <w:spacing w:after="120" w:line="360" w:lineRule="auto"/>
              <w:jc w:val="both"/>
              <w:rPr>
                <w:rFonts w:ascii="Arial" w:eastAsia="Arial" w:hAnsi="Arial" w:cs="Arial"/>
                <w:color w:val="010000"/>
                <w:sz w:val="20"/>
                <w:szCs w:val="20"/>
              </w:rPr>
            </w:pPr>
            <w:r w:rsidRPr="00D8277B">
              <w:rPr>
                <w:rFonts w:ascii="Arial" w:hAnsi="Arial" w:cs="Arial"/>
                <w:color w:val="010000"/>
                <w:sz w:val="20"/>
              </w:rPr>
              <w:t>Professional investor</w:t>
            </w:r>
          </w:p>
        </w:tc>
        <w:tc>
          <w:tcPr>
            <w:tcW w:w="946" w:type="pct"/>
            <w:tcBorders>
              <w:top w:val="single" w:sz="4" w:space="0" w:color="000000"/>
              <w:left w:val="single" w:sz="4" w:space="0" w:color="000000"/>
              <w:bottom w:val="single" w:sz="4" w:space="0" w:color="000000"/>
            </w:tcBorders>
            <w:shd w:val="clear" w:color="auto" w:fill="auto"/>
            <w:tcMar>
              <w:top w:w="0" w:type="dxa"/>
              <w:bottom w:w="0" w:type="dxa"/>
            </w:tcMar>
            <w:vAlign w:val="center"/>
          </w:tcPr>
          <w:p w:rsidR="006F1553" w:rsidRPr="00D8277B" w:rsidRDefault="00D8277B" w:rsidP="00B42BFB">
            <w:pPr>
              <w:pBdr>
                <w:top w:val="nil"/>
                <w:left w:val="nil"/>
                <w:bottom w:val="nil"/>
                <w:right w:val="nil"/>
                <w:between w:val="nil"/>
              </w:pBdr>
              <w:spacing w:after="120" w:line="360" w:lineRule="auto"/>
              <w:jc w:val="both"/>
              <w:rPr>
                <w:rFonts w:ascii="Arial" w:eastAsia="Arial" w:hAnsi="Arial" w:cs="Arial"/>
                <w:color w:val="010000"/>
                <w:sz w:val="20"/>
                <w:szCs w:val="20"/>
              </w:rPr>
            </w:pPr>
            <w:r w:rsidRPr="00D8277B">
              <w:rPr>
                <w:rFonts w:ascii="Arial" w:hAnsi="Arial" w:cs="Arial"/>
                <w:color w:val="010000"/>
                <w:sz w:val="20"/>
              </w:rPr>
              <w:t>Domestic investor</w:t>
            </w:r>
          </w:p>
        </w:tc>
        <w:tc>
          <w:tcPr>
            <w:tcW w:w="407" w:type="pct"/>
            <w:tcBorders>
              <w:top w:val="single" w:sz="4" w:space="0" w:color="000000"/>
              <w:left w:val="single" w:sz="4" w:space="0" w:color="000000"/>
              <w:bottom w:val="single" w:sz="4" w:space="0" w:color="000000"/>
            </w:tcBorders>
            <w:shd w:val="clear" w:color="auto" w:fill="auto"/>
            <w:tcMar>
              <w:top w:w="0" w:type="dxa"/>
              <w:bottom w:w="0" w:type="dxa"/>
            </w:tcMar>
            <w:vAlign w:val="center"/>
          </w:tcPr>
          <w:p w:rsidR="006F1553" w:rsidRPr="00D8277B" w:rsidRDefault="00D8277B" w:rsidP="00B42BFB">
            <w:pPr>
              <w:pBdr>
                <w:top w:val="nil"/>
                <w:left w:val="nil"/>
                <w:bottom w:val="nil"/>
                <w:right w:val="nil"/>
                <w:between w:val="nil"/>
              </w:pBdr>
              <w:spacing w:after="120" w:line="360" w:lineRule="auto"/>
              <w:jc w:val="both"/>
              <w:rPr>
                <w:rFonts w:ascii="Arial" w:eastAsia="Arial" w:hAnsi="Arial" w:cs="Arial"/>
                <w:color w:val="010000"/>
                <w:sz w:val="20"/>
                <w:szCs w:val="20"/>
              </w:rPr>
            </w:pPr>
            <w:r w:rsidRPr="00D8277B">
              <w:rPr>
                <w:rFonts w:ascii="Arial" w:hAnsi="Arial" w:cs="Arial"/>
                <w:color w:val="010000"/>
                <w:sz w:val="20"/>
              </w:rPr>
              <w:t>0</w:t>
            </w:r>
          </w:p>
        </w:tc>
        <w:tc>
          <w:tcPr>
            <w:tcW w:w="490" w:type="pct"/>
            <w:tcBorders>
              <w:top w:val="single" w:sz="4" w:space="0" w:color="000000"/>
              <w:left w:val="single" w:sz="4" w:space="0" w:color="000000"/>
              <w:bottom w:val="single" w:sz="4" w:space="0" w:color="000000"/>
            </w:tcBorders>
            <w:shd w:val="clear" w:color="auto" w:fill="auto"/>
            <w:tcMar>
              <w:top w:w="0" w:type="dxa"/>
              <w:bottom w:w="0" w:type="dxa"/>
            </w:tcMar>
            <w:vAlign w:val="center"/>
          </w:tcPr>
          <w:p w:rsidR="006F1553" w:rsidRPr="00D8277B" w:rsidRDefault="00D8277B" w:rsidP="00B42BFB">
            <w:pPr>
              <w:pBdr>
                <w:top w:val="nil"/>
                <w:left w:val="nil"/>
                <w:bottom w:val="nil"/>
                <w:right w:val="nil"/>
                <w:between w:val="nil"/>
              </w:pBdr>
              <w:spacing w:after="120" w:line="360" w:lineRule="auto"/>
              <w:jc w:val="both"/>
              <w:rPr>
                <w:rFonts w:ascii="Arial" w:eastAsia="Arial" w:hAnsi="Arial" w:cs="Arial"/>
                <w:color w:val="010000"/>
                <w:sz w:val="20"/>
                <w:szCs w:val="20"/>
              </w:rPr>
            </w:pPr>
            <w:r w:rsidRPr="00D8277B">
              <w:rPr>
                <w:rFonts w:ascii="Arial" w:hAnsi="Arial" w:cs="Arial"/>
                <w:color w:val="010000"/>
                <w:sz w:val="20"/>
              </w:rPr>
              <w:t>2,000,000</w:t>
            </w:r>
          </w:p>
        </w:tc>
        <w:tc>
          <w:tcPr>
            <w:tcW w:w="589" w:type="pct"/>
            <w:tcBorders>
              <w:top w:val="single" w:sz="4" w:space="0" w:color="000000"/>
              <w:left w:val="single" w:sz="4" w:space="0" w:color="000000"/>
              <w:bottom w:val="single" w:sz="4" w:space="0" w:color="000000"/>
              <w:right w:val="single" w:sz="4" w:space="0" w:color="000000"/>
            </w:tcBorders>
            <w:shd w:val="clear" w:color="auto" w:fill="auto"/>
            <w:tcMar>
              <w:top w:w="0" w:type="dxa"/>
              <w:bottom w:w="0" w:type="dxa"/>
            </w:tcMar>
            <w:vAlign w:val="center"/>
          </w:tcPr>
          <w:p w:rsidR="006F1553" w:rsidRPr="00D8277B" w:rsidRDefault="00D8277B" w:rsidP="00B42BFB">
            <w:pPr>
              <w:pBdr>
                <w:top w:val="nil"/>
                <w:left w:val="nil"/>
                <w:bottom w:val="nil"/>
                <w:right w:val="nil"/>
                <w:between w:val="nil"/>
              </w:pBdr>
              <w:spacing w:after="120" w:line="360" w:lineRule="auto"/>
              <w:jc w:val="both"/>
              <w:rPr>
                <w:rFonts w:ascii="Arial" w:eastAsia="Arial" w:hAnsi="Arial" w:cs="Arial"/>
                <w:color w:val="010000"/>
                <w:sz w:val="20"/>
                <w:szCs w:val="20"/>
              </w:rPr>
            </w:pPr>
            <w:r w:rsidRPr="00D8277B">
              <w:rPr>
                <w:rFonts w:ascii="Arial" w:hAnsi="Arial" w:cs="Arial"/>
                <w:color w:val="010000"/>
                <w:sz w:val="20"/>
              </w:rPr>
              <w:t>40%</w:t>
            </w:r>
          </w:p>
        </w:tc>
      </w:tr>
    </w:tbl>
    <w:p w:rsidR="006F1553" w:rsidRPr="00D8277B" w:rsidRDefault="00D8277B" w:rsidP="00B42BFB">
      <w:pPr>
        <w:pBdr>
          <w:top w:val="nil"/>
          <w:left w:val="nil"/>
          <w:bottom w:val="nil"/>
          <w:right w:val="nil"/>
          <w:between w:val="nil"/>
        </w:pBdr>
        <w:spacing w:after="120" w:line="360" w:lineRule="auto"/>
        <w:jc w:val="both"/>
        <w:rPr>
          <w:rFonts w:ascii="Arial" w:eastAsia="Arial" w:hAnsi="Arial" w:cs="Arial"/>
          <w:color w:val="010000"/>
          <w:sz w:val="20"/>
          <w:szCs w:val="20"/>
        </w:rPr>
      </w:pPr>
      <w:r w:rsidRPr="00D8277B">
        <w:rPr>
          <w:rFonts w:ascii="Arial" w:hAnsi="Arial" w:cs="Arial"/>
          <w:color w:val="010000"/>
          <w:sz w:val="20"/>
        </w:rPr>
        <w:t>Relationship between the offering objects and the issuer, members of the Board of Directors, and the Board of Management:</w:t>
      </w:r>
    </w:p>
    <w:tbl>
      <w:tblPr>
        <w:tblStyle w:val="a1"/>
        <w:tblW w:w="500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637"/>
        <w:gridCol w:w="2525"/>
        <w:gridCol w:w="2218"/>
        <w:gridCol w:w="3637"/>
      </w:tblGrid>
      <w:tr w:rsidR="006F1553" w:rsidRPr="00D8277B" w:rsidTr="00D8277B">
        <w:tc>
          <w:tcPr>
            <w:tcW w:w="353" w:type="pct"/>
            <w:shd w:val="clear" w:color="auto" w:fill="auto"/>
            <w:tcMar>
              <w:top w:w="0" w:type="dxa"/>
              <w:bottom w:w="0" w:type="dxa"/>
            </w:tcMar>
            <w:vAlign w:val="center"/>
          </w:tcPr>
          <w:p w:rsidR="006F1553" w:rsidRPr="00D8277B" w:rsidRDefault="00D8277B" w:rsidP="00B42BFB">
            <w:pPr>
              <w:pBdr>
                <w:top w:val="nil"/>
                <w:left w:val="nil"/>
                <w:bottom w:val="nil"/>
                <w:right w:val="nil"/>
                <w:between w:val="nil"/>
              </w:pBdr>
              <w:spacing w:after="120" w:line="360" w:lineRule="auto"/>
              <w:jc w:val="both"/>
              <w:rPr>
                <w:rFonts w:ascii="Arial" w:eastAsia="Arial" w:hAnsi="Arial" w:cs="Arial"/>
                <w:color w:val="010000"/>
                <w:sz w:val="20"/>
                <w:szCs w:val="20"/>
              </w:rPr>
            </w:pPr>
            <w:r w:rsidRPr="00D8277B">
              <w:rPr>
                <w:rFonts w:ascii="Arial" w:hAnsi="Arial" w:cs="Arial"/>
                <w:color w:val="010000"/>
                <w:sz w:val="20"/>
              </w:rPr>
              <w:t xml:space="preserve">No. </w:t>
            </w:r>
          </w:p>
        </w:tc>
        <w:tc>
          <w:tcPr>
            <w:tcW w:w="1400" w:type="pct"/>
            <w:shd w:val="clear" w:color="auto" w:fill="auto"/>
            <w:tcMar>
              <w:top w:w="0" w:type="dxa"/>
              <w:bottom w:w="0" w:type="dxa"/>
            </w:tcMar>
            <w:vAlign w:val="center"/>
          </w:tcPr>
          <w:p w:rsidR="006F1553" w:rsidRPr="00D8277B" w:rsidRDefault="00D8277B" w:rsidP="00B42BFB">
            <w:pPr>
              <w:pBdr>
                <w:top w:val="nil"/>
                <w:left w:val="nil"/>
                <w:bottom w:val="nil"/>
                <w:right w:val="nil"/>
                <w:between w:val="nil"/>
              </w:pBdr>
              <w:spacing w:after="120" w:line="360" w:lineRule="auto"/>
              <w:jc w:val="both"/>
              <w:rPr>
                <w:rFonts w:ascii="Arial" w:eastAsia="Arial" w:hAnsi="Arial" w:cs="Arial"/>
                <w:color w:val="010000"/>
                <w:sz w:val="20"/>
                <w:szCs w:val="20"/>
              </w:rPr>
            </w:pPr>
            <w:r w:rsidRPr="00D8277B">
              <w:rPr>
                <w:rFonts w:ascii="Arial" w:hAnsi="Arial" w:cs="Arial"/>
                <w:color w:val="010000"/>
                <w:sz w:val="20"/>
              </w:rPr>
              <w:t>Investor name</w:t>
            </w:r>
          </w:p>
        </w:tc>
        <w:tc>
          <w:tcPr>
            <w:tcW w:w="1230" w:type="pct"/>
            <w:shd w:val="clear" w:color="auto" w:fill="auto"/>
            <w:tcMar>
              <w:top w:w="0" w:type="dxa"/>
              <w:bottom w:w="0" w:type="dxa"/>
            </w:tcMar>
            <w:vAlign w:val="center"/>
          </w:tcPr>
          <w:p w:rsidR="006F1553" w:rsidRPr="00D8277B" w:rsidRDefault="00D8277B" w:rsidP="00B42BFB">
            <w:pPr>
              <w:pBdr>
                <w:top w:val="nil"/>
                <w:left w:val="nil"/>
                <w:bottom w:val="nil"/>
                <w:right w:val="nil"/>
                <w:between w:val="nil"/>
              </w:pBdr>
              <w:spacing w:after="120" w:line="360" w:lineRule="auto"/>
              <w:jc w:val="both"/>
              <w:rPr>
                <w:rFonts w:ascii="Arial" w:eastAsia="Arial" w:hAnsi="Arial" w:cs="Arial"/>
                <w:color w:val="010000"/>
                <w:sz w:val="20"/>
                <w:szCs w:val="20"/>
              </w:rPr>
            </w:pPr>
            <w:r w:rsidRPr="00D8277B">
              <w:rPr>
                <w:rFonts w:ascii="Arial" w:hAnsi="Arial" w:cs="Arial"/>
                <w:color w:val="010000"/>
                <w:sz w:val="20"/>
              </w:rPr>
              <w:t>ID Card Number/Citizen Identification Number/Passport or Business Registration Certificate Number</w:t>
            </w:r>
          </w:p>
        </w:tc>
        <w:tc>
          <w:tcPr>
            <w:tcW w:w="2017" w:type="pct"/>
            <w:shd w:val="clear" w:color="auto" w:fill="auto"/>
            <w:tcMar>
              <w:top w:w="0" w:type="dxa"/>
              <w:bottom w:w="0" w:type="dxa"/>
            </w:tcMar>
            <w:vAlign w:val="center"/>
          </w:tcPr>
          <w:p w:rsidR="006F1553" w:rsidRPr="00D8277B" w:rsidRDefault="00D8277B" w:rsidP="00B42BFB">
            <w:pPr>
              <w:pBdr>
                <w:top w:val="nil"/>
                <w:left w:val="nil"/>
                <w:bottom w:val="nil"/>
                <w:right w:val="nil"/>
                <w:between w:val="nil"/>
              </w:pBdr>
              <w:spacing w:after="120" w:line="360" w:lineRule="auto"/>
              <w:jc w:val="both"/>
              <w:rPr>
                <w:rFonts w:ascii="Arial" w:eastAsia="Arial" w:hAnsi="Arial" w:cs="Arial"/>
                <w:color w:val="010000"/>
                <w:sz w:val="20"/>
                <w:szCs w:val="20"/>
              </w:rPr>
            </w:pPr>
            <w:r w:rsidRPr="00D8277B">
              <w:rPr>
                <w:rFonts w:ascii="Arial" w:hAnsi="Arial" w:cs="Arial"/>
                <w:color w:val="010000"/>
                <w:sz w:val="20"/>
              </w:rPr>
              <w:t>Relationship with the issuer, members of the Board of Directors, and the Board of Management</w:t>
            </w:r>
          </w:p>
        </w:tc>
      </w:tr>
      <w:tr w:rsidR="006F1553" w:rsidRPr="00D8277B" w:rsidTr="00D8277B">
        <w:tc>
          <w:tcPr>
            <w:tcW w:w="353" w:type="pct"/>
            <w:shd w:val="clear" w:color="auto" w:fill="auto"/>
            <w:tcMar>
              <w:top w:w="0" w:type="dxa"/>
              <w:bottom w:w="0" w:type="dxa"/>
            </w:tcMar>
            <w:vAlign w:val="center"/>
          </w:tcPr>
          <w:p w:rsidR="006F1553" w:rsidRPr="00D8277B" w:rsidRDefault="00D8277B" w:rsidP="00B42BFB">
            <w:pPr>
              <w:pBdr>
                <w:top w:val="nil"/>
                <w:left w:val="nil"/>
                <w:bottom w:val="nil"/>
                <w:right w:val="nil"/>
                <w:between w:val="nil"/>
              </w:pBdr>
              <w:spacing w:after="120" w:line="360" w:lineRule="auto"/>
              <w:jc w:val="both"/>
              <w:rPr>
                <w:rFonts w:ascii="Arial" w:eastAsia="Arial" w:hAnsi="Arial" w:cs="Arial"/>
                <w:color w:val="010000"/>
                <w:sz w:val="20"/>
                <w:szCs w:val="20"/>
              </w:rPr>
            </w:pPr>
            <w:r w:rsidRPr="00D8277B">
              <w:rPr>
                <w:rFonts w:ascii="Arial" w:hAnsi="Arial" w:cs="Arial"/>
                <w:color w:val="010000"/>
                <w:sz w:val="20"/>
              </w:rPr>
              <w:t>1</w:t>
            </w:r>
          </w:p>
        </w:tc>
        <w:tc>
          <w:tcPr>
            <w:tcW w:w="1400" w:type="pct"/>
            <w:shd w:val="clear" w:color="auto" w:fill="auto"/>
            <w:tcMar>
              <w:top w:w="0" w:type="dxa"/>
              <w:bottom w:w="0" w:type="dxa"/>
            </w:tcMar>
            <w:vAlign w:val="center"/>
          </w:tcPr>
          <w:p w:rsidR="006F1553" w:rsidRPr="00D8277B" w:rsidRDefault="00D8277B" w:rsidP="00B42BFB">
            <w:pPr>
              <w:pBdr>
                <w:top w:val="nil"/>
                <w:left w:val="nil"/>
                <w:bottom w:val="nil"/>
                <w:right w:val="nil"/>
                <w:between w:val="nil"/>
              </w:pBdr>
              <w:spacing w:after="120" w:line="360" w:lineRule="auto"/>
              <w:jc w:val="both"/>
              <w:rPr>
                <w:rFonts w:ascii="Arial" w:eastAsia="Arial" w:hAnsi="Arial" w:cs="Arial"/>
                <w:color w:val="010000"/>
                <w:sz w:val="20"/>
                <w:szCs w:val="20"/>
              </w:rPr>
            </w:pPr>
            <w:proofErr w:type="spellStart"/>
            <w:r w:rsidRPr="00D8277B">
              <w:rPr>
                <w:rFonts w:ascii="Arial" w:hAnsi="Arial" w:cs="Arial"/>
                <w:color w:val="010000"/>
                <w:sz w:val="20"/>
              </w:rPr>
              <w:t>VietinBank</w:t>
            </w:r>
            <w:proofErr w:type="spellEnd"/>
            <w:r w:rsidRPr="00D8277B">
              <w:rPr>
                <w:rFonts w:ascii="Arial" w:hAnsi="Arial" w:cs="Arial"/>
                <w:color w:val="010000"/>
                <w:sz w:val="20"/>
              </w:rPr>
              <w:t xml:space="preserve"> Fund Management Company Limited</w:t>
            </w:r>
          </w:p>
        </w:tc>
        <w:tc>
          <w:tcPr>
            <w:tcW w:w="1230" w:type="pct"/>
            <w:shd w:val="clear" w:color="auto" w:fill="auto"/>
            <w:tcMar>
              <w:top w:w="0" w:type="dxa"/>
              <w:bottom w:w="0" w:type="dxa"/>
            </w:tcMar>
            <w:vAlign w:val="center"/>
          </w:tcPr>
          <w:p w:rsidR="006F1553" w:rsidRPr="00D8277B" w:rsidRDefault="00D8277B" w:rsidP="00B42BFB">
            <w:pPr>
              <w:pBdr>
                <w:top w:val="nil"/>
                <w:left w:val="nil"/>
                <w:bottom w:val="nil"/>
                <w:right w:val="nil"/>
                <w:between w:val="nil"/>
              </w:pBdr>
              <w:spacing w:after="120" w:line="360" w:lineRule="auto"/>
              <w:jc w:val="both"/>
              <w:rPr>
                <w:rFonts w:ascii="Arial" w:eastAsia="Arial" w:hAnsi="Arial" w:cs="Arial"/>
                <w:color w:val="010000"/>
                <w:sz w:val="20"/>
                <w:szCs w:val="20"/>
              </w:rPr>
            </w:pPr>
            <w:r w:rsidRPr="00D8277B">
              <w:rPr>
                <w:rFonts w:ascii="Arial" w:hAnsi="Arial" w:cs="Arial"/>
                <w:color w:val="010000"/>
                <w:sz w:val="20"/>
              </w:rPr>
              <w:t>50/UBCK-GP</w:t>
            </w:r>
          </w:p>
        </w:tc>
        <w:tc>
          <w:tcPr>
            <w:tcW w:w="2017" w:type="pct"/>
            <w:shd w:val="clear" w:color="auto" w:fill="auto"/>
            <w:tcMar>
              <w:top w:w="0" w:type="dxa"/>
              <w:bottom w:w="0" w:type="dxa"/>
            </w:tcMar>
            <w:vAlign w:val="center"/>
          </w:tcPr>
          <w:p w:rsidR="006F1553" w:rsidRPr="00D8277B" w:rsidRDefault="00D8277B" w:rsidP="00B42BFB">
            <w:pPr>
              <w:pBdr>
                <w:top w:val="nil"/>
                <w:left w:val="nil"/>
                <w:bottom w:val="nil"/>
                <w:right w:val="nil"/>
                <w:between w:val="nil"/>
              </w:pBdr>
              <w:spacing w:after="120" w:line="360" w:lineRule="auto"/>
              <w:jc w:val="both"/>
              <w:rPr>
                <w:rFonts w:ascii="Arial" w:eastAsia="Arial" w:hAnsi="Arial" w:cs="Arial"/>
                <w:color w:val="010000"/>
                <w:sz w:val="20"/>
                <w:szCs w:val="20"/>
              </w:rPr>
            </w:pPr>
            <w:r w:rsidRPr="00D8277B">
              <w:rPr>
                <w:rFonts w:ascii="Arial" w:hAnsi="Arial" w:cs="Arial"/>
                <w:color w:val="010000"/>
                <w:sz w:val="20"/>
              </w:rPr>
              <w:t>None</w:t>
            </w:r>
          </w:p>
        </w:tc>
      </w:tr>
      <w:tr w:rsidR="006F1553" w:rsidRPr="00D8277B" w:rsidTr="00D8277B">
        <w:tc>
          <w:tcPr>
            <w:tcW w:w="353" w:type="pct"/>
            <w:shd w:val="clear" w:color="auto" w:fill="auto"/>
            <w:tcMar>
              <w:top w:w="0" w:type="dxa"/>
              <w:bottom w:w="0" w:type="dxa"/>
            </w:tcMar>
            <w:vAlign w:val="center"/>
          </w:tcPr>
          <w:p w:rsidR="006F1553" w:rsidRPr="00D8277B" w:rsidRDefault="00D8277B" w:rsidP="00B42BFB">
            <w:pPr>
              <w:pBdr>
                <w:top w:val="nil"/>
                <w:left w:val="nil"/>
                <w:bottom w:val="nil"/>
                <w:right w:val="nil"/>
                <w:between w:val="nil"/>
              </w:pBdr>
              <w:spacing w:after="120" w:line="360" w:lineRule="auto"/>
              <w:jc w:val="both"/>
              <w:rPr>
                <w:rFonts w:ascii="Arial" w:eastAsia="Arial" w:hAnsi="Arial" w:cs="Arial"/>
                <w:color w:val="010000"/>
                <w:sz w:val="20"/>
                <w:szCs w:val="20"/>
              </w:rPr>
            </w:pPr>
            <w:r w:rsidRPr="00D8277B">
              <w:rPr>
                <w:rFonts w:ascii="Arial" w:hAnsi="Arial" w:cs="Arial"/>
                <w:color w:val="010000"/>
                <w:sz w:val="20"/>
              </w:rPr>
              <w:t>2</w:t>
            </w:r>
          </w:p>
        </w:tc>
        <w:tc>
          <w:tcPr>
            <w:tcW w:w="1400" w:type="pct"/>
            <w:shd w:val="clear" w:color="auto" w:fill="auto"/>
            <w:tcMar>
              <w:top w:w="0" w:type="dxa"/>
              <w:bottom w:w="0" w:type="dxa"/>
            </w:tcMar>
            <w:vAlign w:val="center"/>
          </w:tcPr>
          <w:p w:rsidR="006F1553" w:rsidRPr="00D8277B" w:rsidRDefault="00D8277B" w:rsidP="00B42BFB">
            <w:pPr>
              <w:pBdr>
                <w:top w:val="nil"/>
                <w:left w:val="nil"/>
                <w:bottom w:val="nil"/>
                <w:right w:val="nil"/>
                <w:between w:val="nil"/>
              </w:pBdr>
              <w:spacing w:after="120" w:line="360" w:lineRule="auto"/>
              <w:jc w:val="both"/>
              <w:rPr>
                <w:rFonts w:ascii="Arial" w:eastAsia="Arial" w:hAnsi="Arial" w:cs="Arial"/>
                <w:color w:val="010000"/>
                <w:sz w:val="20"/>
                <w:szCs w:val="20"/>
              </w:rPr>
            </w:pPr>
            <w:r w:rsidRPr="00D8277B">
              <w:rPr>
                <w:rFonts w:ascii="Arial" w:hAnsi="Arial" w:cs="Arial"/>
                <w:color w:val="010000"/>
                <w:sz w:val="20"/>
              </w:rPr>
              <w:t xml:space="preserve">Nguyen </w:t>
            </w:r>
            <w:proofErr w:type="spellStart"/>
            <w:r w:rsidRPr="00D8277B">
              <w:rPr>
                <w:rFonts w:ascii="Arial" w:hAnsi="Arial" w:cs="Arial"/>
                <w:color w:val="010000"/>
                <w:sz w:val="20"/>
              </w:rPr>
              <w:t>Phuc</w:t>
            </w:r>
            <w:proofErr w:type="spellEnd"/>
            <w:r w:rsidRPr="00D8277B">
              <w:rPr>
                <w:rFonts w:ascii="Arial" w:hAnsi="Arial" w:cs="Arial"/>
                <w:color w:val="010000"/>
                <w:sz w:val="20"/>
              </w:rPr>
              <w:t xml:space="preserve"> </w:t>
            </w:r>
            <w:proofErr w:type="spellStart"/>
            <w:r w:rsidRPr="00D8277B">
              <w:rPr>
                <w:rFonts w:ascii="Arial" w:hAnsi="Arial" w:cs="Arial"/>
                <w:color w:val="010000"/>
                <w:sz w:val="20"/>
              </w:rPr>
              <w:t>Loi</w:t>
            </w:r>
            <w:proofErr w:type="spellEnd"/>
          </w:p>
        </w:tc>
        <w:tc>
          <w:tcPr>
            <w:tcW w:w="1230" w:type="pct"/>
            <w:shd w:val="clear" w:color="auto" w:fill="auto"/>
            <w:tcMar>
              <w:top w:w="0" w:type="dxa"/>
              <w:bottom w:w="0" w:type="dxa"/>
            </w:tcMar>
            <w:vAlign w:val="center"/>
          </w:tcPr>
          <w:p w:rsidR="006F1553" w:rsidRPr="00D8277B" w:rsidRDefault="00D8277B" w:rsidP="00B42BFB">
            <w:pPr>
              <w:pBdr>
                <w:top w:val="nil"/>
                <w:left w:val="nil"/>
                <w:bottom w:val="nil"/>
                <w:right w:val="nil"/>
                <w:between w:val="nil"/>
              </w:pBdr>
              <w:spacing w:after="120" w:line="360" w:lineRule="auto"/>
              <w:jc w:val="both"/>
              <w:rPr>
                <w:rFonts w:ascii="Arial" w:eastAsia="Arial" w:hAnsi="Arial" w:cs="Arial"/>
                <w:color w:val="010000"/>
                <w:sz w:val="20"/>
                <w:szCs w:val="20"/>
              </w:rPr>
            </w:pPr>
            <w:r w:rsidRPr="00D8277B">
              <w:rPr>
                <w:rFonts w:ascii="Arial" w:hAnsi="Arial" w:cs="Arial"/>
                <w:color w:val="010000"/>
                <w:sz w:val="20"/>
              </w:rPr>
              <w:t>052087000202</w:t>
            </w:r>
          </w:p>
        </w:tc>
        <w:tc>
          <w:tcPr>
            <w:tcW w:w="2017" w:type="pct"/>
            <w:shd w:val="clear" w:color="auto" w:fill="auto"/>
            <w:tcMar>
              <w:top w:w="0" w:type="dxa"/>
              <w:bottom w:w="0" w:type="dxa"/>
            </w:tcMar>
            <w:vAlign w:val="center"/>
          </w:tcPr>
          <w:p w:rsidR="006F1553" w:rsidRPr="00D8277B" w:rsidRDefault="00D8277B" w:rsidP="00B42BFB">
            <w:pPr>
              <w:pBdr>
                <w:top w:val="nil"/>
                <w:left w:val="nil"/>
                <w:bottom w:val="nil"/>
                <w:right w:val="nil"/>
                <w:between w:val="nil"/>
              </w:pBdr>
              <w:spacing w:after="120" w:line="360" w:lineRule="auto"/>
              <w:jc w:val="both"/>
              <w:rPr>
                <w:rFonts w:ascii="Arial" w:eastAsia="Arial" w:hAnsi="Arial" w:cs="Arial"/>
                <w:color w:val="010000"/>
                <w:sz w:val="20"/>
                <w:szCs w:val="20"/>
              </w:rPr>
            </w:pPr>
            <w:r w:rsidRPr="00D8277B">
              <w:rPr>
                <w:rFonts w:ascii="Arial" w:hAnsi="Arial" w:cs="Arial"/>
                <w:color w:val="010000"/>
                <w:sz w:val="20"/>
              </w:rPr>
              <w:t>Chair of the Board of Directors</w:t>
            </w:r>
          </w:p>
        </w:tc>
      </w:tr>
    </w:tbl>
    <w:p w:rsidR="006F1553" w:rsidRPr="00D8277B" w:rsidRDefault="00D8277B" w:rsidP="00B42BFB">
      <w:pPr>
        <w:pBdr>
          <w:top w:val="nil"/>
          <w:left w:val="nil"/>
          <w:bottom w:val="nil"/>
          <w:right w:val="nil"/>
          <w:between w:val="nil"/>
        </w:pBdr>
        <w:spacing w:after="120" w:line="360" w:lineRule="auto"/>
        <w:jc w:val="both"/>
        <w:rPr>
          <w:rFonts w:ascii="Arial" w:eastAsia="Arial" w:hAnsi="Arial" w:cs="Arial"/>
          <w:color w:val="010000"/>
          <w:sz w:val="20"/>
          <w:szCs w:val="20"/>
        </w:rPr>
      </w:pPr>
      <w:r w:rsidRPr="00D8277B">
        <w:rPr>
          <w:rFonts w:ascii="Arial" w:hAnsi="Arial" w:cs="Arial"/>
          <w:color w:val="010000"/>
          <w:sz w:val="20"/>
        </w:rPr>
        <w:t xml:space="preserve">Article 3: Approve the plan to ensure compliance with </w:t>
      </w:r>
      <w:r>
        <w:rPr>
          <w:rFonts w:ascii="Arial" w:hAnsi="Arial" w:cs="Arial"/>
          <w:color w:val="010000"/>
          <w:sz w:val="20"/>
        </w:rPr>
        <w:t xml:space="preserve">the </w:t>
      </w:r>
      <w:r w:rsidRPr="00D8277B">
        <w:rPr>
          <w:rFonts w:ascii="Arial" w:hAnsi="Arial" w:cs="Arial"/>
          <w:color w:val="010000"/>
          <w:sz w:val="20"/>
        </w:rPr>
        <w:t xml:space="preserve">foreign ownership rate </w:t>
      </w:r>
      <w:r>
        <w:rPr>
          <w:rFonts w:ascii="Arial" w:hAnsi="Arial" w:cs="Arial"/>
          <w:color w:val="010000"/>
          <w:sz w:val="20"/>
        </w:rPr>
        <w:t xml:space="preserve">in </w:t>
      </w:r>
      <w:r w:rsidRPr="00D8277B">
        <w:rPr>
          <w:rFonts w:ascii="Arial" w:hAnsi="Arial" w:cs="Arial"/>
          <w:color w:val="010000"/>
          <w:sz w:val="20"/>
        </w:rPr>
        <w:t>connection with the 2026 private placement as follows:</w:t>
      </w:r>
    </w:p>
    <w:p w:rsidR="006F1553" w:rsidRPr="00D8277B" w:rsidRDefault="00D8277B" w:rsidP="00B42BFB">
      <w:pPr>
        <w:pBdr>
          <w:top w:val="nil"/>
          <w:left w:val="nil"/>
          <w:bottom w:val="nil"/>
          <w:right w:val="nil"/>
          <w:between w:val="nil"/>
        </w:pBdr>
        <w:spacing w:after="120" w:line="360" w:lineRule="auto"/>
        <w:jc w:val="both"/>
        <w:rPr>
          <w:rFonts w:ascii="Arial" w:eastAsia="Arial" w:hAnsi="Arial" w:cs="Arial"/>
          <w:color w:val="010000"/>
          <w:sz w:val="20"/>
          <w:szCs w:val="20"/>
        </w:rPr>
      </w:pPr>
      <w:r w:rsidRPr="00D8277B">
        <w:rPr>
          <w:rFonts w:ascii="Arial" w:hAnsi="Arial" w:cs="Arial"/>
          <w:color w:val="010000"/>
          <w:sz w:val="20"/>
        </w:rPr>
        <w:t xml:space="preserve">The </w:t>
      </w:r>
      <w:r>
        <w:rPr>
          <w:rFonts w:ascii="Arial" w:hAnsi="Arial" w:cs="Arial"/>
          <w:color w:val="010000"/>
          <w:sz w:val="20"/>
        </w:rPr>
        <w:t>Company's maximum foreign ownership rate is 0%, according to Official Dispatch No. 5706/UBCK-PTTT of the State Securities Commission,</w:t>
      </w:r>
      <w:r w:rsidRPr="00D8277B">
        <w:rPr>
          <w:rFonts w:ascii="Arial" w:hAnsi="Arial" w:cs="Arial"/>
          <w:color w:val="010000"/>
          <w:sz w:val="20"/>
        </w:rPr>
        <w:t xml:space="preserve"> issued on September 30, 2021. The criteria for selecting investors for the offering are </w:t>
      </w:r>
      <w:r>
        <w:rPr>
          <w:rFonts w:ascii="Arial" w:hAnsi="Arial" w:cs="Arial"/>
          <w:color w:val="010000"/>
          <w:sz w:val="20"/>
        </w:rPr>
        <w:t xml:space="preserve">that they be domestic professional securities investors; therefore, the offering ensures compliance with the maximum foreign ownership rate </w:t>
      </w:r>
      <w:r w:rsidRPr="00D8277B">
        <w:rPr>
          <w:rFonts w:ascii="Arial" w:hAnsi="Arial" w:cs="Arial"/>
          <w:color w:val="010000"/>
          <w:sz w:val="20"/>
        </w:rPr>
        <w:t>stipulated by law.</w:t>
      </w:r>
    </w:p>
    <w:p w:rsidR="006F1553" w:rsidRPr="00D8277B" w:rsidRDefault="00D8277B" w:rsidP="00B42BFB">
      <w:pPr>
        <w:pBdr>
          <w:top w:val="nil"/>
          <w:left w:val="nil"/>
          <w:bottom w:val="nil"/>
          <w:right w:val="nil"/>
          <w:between w:val="nil"/>
        </w:pBdr>
        <w:spacing w:after="120" w:line="360" w:lineRule="auto"/>
        <w:jc w:val="both"/>
        <w:rPr>
          <w:rFonts w:ascii="Arial" w:eastAsia="Arial" w:hAnsi="Arial" w:cs="Arial"/>
          <w:color w:val="010000"/>
          <w:sz w:val="20"/>
          <w:szCs w:val="20"/>
        </w:rPr>
      </w:pPr>
      <w:r w:rsidRPr="00D8277B">
        <w:rPr>
          <w:rFonts w:ascii="Arial" w:hAnsi="Arial" w:cs="Arial"/>
          <w:color w:val="010000"/>
          <w:sz w:val="20"/>
        </w:rPr>
        <w:t>Article 4: Approve the blocked account designated to receive subscription proceeds from the private placement:</w:t>
      </w:r>
    </w:p>
    <w:p w:rsidR="006F1553" w:rsidRPr="00D8277B" w:rsidRDefault="00D8277B" w:rsidP="00B42BFB">
      <w:pPr>
        <w:pBdr>
          <w:top w:val="nil"/>
          <w:left w:val="nil"/>
          <w:bottom w:val="nil"/>
          <w:right w:val="nil"/>
          <w:between w:val="nil"/>
        </w:pBdr>
        <w:spacing w:after="120" w:line="360" w:lineRule="auto"/>
        <w:jc w:val="both"/>
        <w:rPr>
          <w:rFonts w:ascii="Arial" w:eastAsia="Arial" w:hAnsi="Arial" w:cs="Arial"/>
          <w:color w:val="010000"/>
          <w:sz w:val="20"/>
          <w:szCs w:val="20"/>
        </w:rPr>
      </w:pPr>
      <w:r w:rsidRPr="00D8277B">
        <w:rPr>
          <w:rFonts w:ascii="Arial" w:hAnsi="Arial" w:cs="Arial"/>
          <w:color w:val="010000"/>
          <w:sz w:val="20"/>
        </w:rPr>
        <w:t xml:space="preserve">Bank for payment account: Vietnam Joint Stock Commercial Bank for Industry and Trade - Ho Chi Minh City Branch </w:t>
      </w:r>
    </w:p>
    <w:p w:rsidR="006F1553" w:rsidRPr="00D8277B" w:rsidRDefault="00D8277B" w:rsidP="00B42BFB">
      <w:pPr>
        <w:pBdr>
          <w:top w:val="nil"/>
          <w:left w:val="nil"/>
          <w:bottom w:val="nil"/>
          <w:right w:val="nil"/>
          <w:between w:val="nil"/>
        </w:pBdr>
        <w:spacing w:after="120" w:line="360" w:lineRule="auto"/>
        <w:jc w:val="both"/>
        <w:rPr>
          <w:rFonts w:ascii="Arial" w:eastAsia="Arial" w:hAnsi="Arial" w:cs="Arial"/>
          <w:color w:val="010000"/>
          <w:sz w:val="20"/>
          <w:szCs w:val="20"/>
        </w:rPr>
      </w:pPr>
      <w:r w:rsidRPr="00D8277B">
        <w:rPr>
          <w:rFonts w:ascii="Arial" w:hAnsi="Arial" w:cs="Arial"/>
          <w:color w:val="010000"/>
          <w:sz w:val="20"/>
        </w:rPr>
        <w:t>Account owner: LUMI Holdings Joint Stock Company</w:t>
      </w:r>
    </w:p>
    <w:p w:rsidR="006F1553" w:rsidRPr="00D8277B" w:rsidRDefault="00D8277B" w:rsidP="00B42BFB">
      <w:pPr>
        <w:pBdr>
          <w:top w:val="nil"/>
          <w:left w:val="nil"/>
          <w:bottom w:val="nil"/>
          <w:right w:val="nil"/>
          <w:between w:val="nil"/>
        </w:pBdr>
        <w:spacing w:after="120" w:line="360" w:lineRule="auto"/>
        <w:jc w:val="both"/>
        <w:rPr>
          <w:rFonts w:ascii="Arial" w:eastAsia="Arial" w:hAnsi="Arial" w:cs="Arial"/>
          <w:color w:val="010000"/>
          <w:sz w:val="20"/>
          <w:szCs w:val="20"/>
        </w:rPr>
      </w:pPr>
      <w:r w:rsidRPr="00D8277B">
        <w:rPr>
          <w:rFonts w:ascii="Arial" w:hAnsi="Arial" w:cs="Arial"/>
          <w:color w:val="010000"/>
          <w:sz w:val="20"/>
        </w:rPr>
        <w:t>Account number: 117003064303</w:t>
      </w:r>
    </w:p>
    <w:p w:rsidR="006F1553" w:rsidRPr="00D8277B" w:rsidRDefault="00D8277B" w:rsidP="00B42BFB">
      <w:pPr>
        <w:pBdr>
          <w:top w:val="nil"/>
          <w:left w:val="nil"/>
          <w:bottom w:val="nil"/>
          <w:right w:val="nil"/>
          <w:between w:val="nil"/>
        </w:pBdr>
        <w:spacing w:after="120" w:line="360" w:lineRule="auto"/>
        <w:jc w:val="both"/>
        <w:rPr>
          <w:rFonts w:ascii="Arial" w:eastAsia="Arial" w:hAnsi="Arial" w:cs="Arial"/>
          <w:color w:val="010000"/>
          <w:sz w:val="20"/>
          <w:szCs w:val="20"/>
        </w:rPr>
      </w:pPr>
      <w:r w:rsidRPr="00D8277B">
        <w:rPr>
          <w:rFonts w:ascii="Arial" w:hAnsi="Arial" w:cs="Arial"/>
          <w:color w:val="010000"/>
          <w:sz w:val="20"/>
        </w:rPr>
        <w:t xml:space="preserve">Article 5: Authorize the Chair of the Board of Directors and </w:t>
      </w:r>
      <w:r w:rsidR="00E273F0">
        <w:rPr>
          <w:rFonts w:ascii="Arial" w:hAnsi="Arial" w:cs="Arial"/>
          <w:color w:val="010000"/>
          <w:sz w:val="20"/>
        </w:rPr>
        <w:t>Managing Director</w:t>
      </w:r>
      <w:r w:rsidRPr="00D8277B">
        <w:rPr>
          <w:rFonts w:ascii="Arial" w:hAnsi="Arial" w:cs="Arial"/>
          <w:color w:val="010000"/>
          <w:sz w:val="20"/>
        </w:rPr>
        <w:t xml:space="preserve"> to direct and carry out all procedures and detailed tasks necessary to implement the private placement for the charter capital increase approved under this Resolution.</w:t>
      </w:r>
    </w:p>
    <w:p w:rsidR="006F1553" w:rsidRPr="00D8277B" w:rsidRDefault="00D8277B" w:rsidP="00B42BFB">
      <w:pPr>
        <w:pBdr>
          <w:top w:val="nil"/>
          <w:left w:val="nil"/>
          <w:bottom w:val="nil"/>
          <w:right w:val="nil"/>
          <w:between w:val="nil"/>
        </w:pBdr>
        <w:spacing w:after="120" w:line="360" w:lineRule="auto"/>
        <w:jc w:val="both"/>
        <w:rPr>
          <w:rFonts w:ascii="Arial" w:eastAsia="Arial" w:hAnsi="Arial" w:cs="Arial"/>
          <w:color w:val="010000"/>
          <w:sz w:val="20"/>
          <w:szCs w:val="20"/>
        </w:rPr>
      </w:pPr>
      <w:r w:rsidRPr="00D8277B">
        <w:rPr>
          <w:rFonts w:ascii="Arial" w:hAnsi="Arial" w:cs="Arial"/>
          <w:color w:val="010000"/>
          <w:sz w:val="20"/>
        </w:rPr>
        <w:t xml:space="preserve">Article 6: This </w:t>
      </w:r>
      <w:r w:rsidR="00E273F0">
        <w:rPr>
          <w:rFonts w:ascii="Arial" w:hAnsi="Arial" w:cs="Arial"/>
          <w:color w:val="010000"/>
          <w:sz w:val="20"/>
        </w:rPr>
        <w:t xml:space="preserve">Board </w:t>
      </w:r>
      <w:r w:rsidRPr="00D8277B">
        <w:rPr>
          <w:rFonts w:ascii="Arial" w:hAnsi="Arial" w:cs="Arial"/>
          <w:color w:val="010000"/>
          <w:sz w:val="20"/>
        </w:rPr>
        <w:t>Resolution takes effect from the date of its signing. Members of the Board of Directors</w:t>
      </w:r>
      <w:r w:rsidR="00E273F0">
        <w:rPr>
          <w:rFonts w:ascii="Arial" w:hAnsi="Arial" w:cs="Arial"/>
          <w:color w:val="010000"/>
          <w:sz w:val="20"/>
        </w:rPr>
        <w:t xml:space="preserve"> and Executive Board</w:t>
      </w:r>
      <w:bookmarkStart w:id="1" w:name="_GoBack"/>
      <w:bookmarkEnd w:id="1"/>
      <w:r w:rsidRPr="00D8277B">
        <w:rPr>
          <w:rFonts w:ascii="Arial" w:hAnsi="Arial" w:cs="Arial"/>
          <w:color w:val="010000"/>
          <w:sz w:val="20"/>
        </w:rPr>
        <w:t xml:space="preserve"> and relevant departments and individuals are responsible for implementing this Resolution.</w:t>
      </w:r>
    </w:p>
    <w:sectPr w:rsidR="006F1553" w:rsidRPr="00D8277B" w:rsidSect="00D8277B">
      <w:pgSz w:w="11907" w:h="16839"/>
      <w:pgMar w:top="1440" w:right="1440" w:bottom="1440" w:left="1440" w:header="0" w:footer="3" w:gutter="0"/>
      <w:pgNumType w:start="1"/>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embedRegular r:id="rId1" w:fontKey="{D51413E7-AFFA-4D16-A254-6DB4B9219B1B}"/>
  </w:font>
  <w:font w:name="Helvetica Neue">
    <w:altName w:val="Times New Roman"/>
    <w:charset w:val="00"/>
    <w:family w:val="auto"/>
    <w:pitch w:val="default"/>
    <w:embedRegular r:id="rId2" w:fontKey="{28EDBFF9-8F63-4985-8BA5-CF294B6C69E6}"/>
    <w:embedBold r:id="rId3" w:fontKey="{18C77C1E-0A51-4035-B2E8-7110EF684100}"/>
  </w:font>
  <w:font w:name="Times New Roman">
    <w:panose1 w:val="02020603050405020304"/>
    <w:charset w:val="00"/>
    <w:family w:val="roman"/>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embedItalic r:id="rId4" w:fontKey="{710271CD-F173-4287-988A-41A64CE29785}"/>
  </w:font>
  <w:font w:name="Calibri">
    <w:panose1 w:val="020F0502020204030204"/>
    <w:charset w:val="00"/>
    <w:family w:val="swiss"/>
    <w:pitch w:val="variable"/>
    <w:sig w:usb0="E0002AFF" w:usb1="4000ACFF" w:usb2="00000001" w:usb3="00000000" w:csb0="000001FF" w:csb1="00000000"/>
    <w:embedRegular r:id="rId5" w:fontKey="{8A67482B-7E8B-4C67-8DEF-2454A2FF9B52}"/>
  </w:font>
  <w:font w:name="Cambria">
    <w:panose1 w:val="02040503050406030204"/>
    <w:charset w:val="00"/>
    <w:family w:val="roman"/>
    <w:pitch w:val="variable"/>
    <w:sig w:usb0="E00006FF" w:usb1="420024FF" w:usb2="02000000" w:usb3="00000000" w:csb0="0000019F" w:csb1="00000000"/>
    <w:embedRegular r:id="rId6" w:fontKey="{E5CE20CB-D56D-4973-9065-D26904B88AD3}"/>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17083F"/>
    <w:multiLevelType w:val="multilevel"/>
    <w:tmpl w:val="2472A618"/>
    <w:lvl w:ilvl="0">
      <w:start w:val="1"/>
      <w:numFmt w:val="decimal"/>
      <w:lvlText w:val="%1."/>
      <w:lvlJc w:val="left"/>
      <w:pPr>
        <w:ind w:left="0" w:firstLine="0"/>
      </w:pPr>
      <w:rPr>
        <w:rFonts w:ascii="Arial" w:eastAsia="Arial" w:hAnsi="Arial" w:cs="Arial"/>
        <w:b w:val="0"/>
        <w:bCs w:val="0"/>
        <w:i w:val="0"/>
        <w:iCs w:val="0"/>
        <w:smallCaps w:val="0"/>
        <w:strike w:val="0"/>
        <w:color w:val="000000"/>
        <w:sz w:val="20"/>
        <w:szCs w:val="20"/>
        <w:u w:val="none"/>
        <w:shd w:val="clear" w:color="auto" w:fill="auto"/>
        <w:vertAlign w:val="baseline"/>
      </w:rPr>
    </w:lvl>
    <w:lvl w:ilvl="1">
      <w:numFmt w:val="decimal"/>
      <w:lvlText w:val=""/>
      <w:lvlJc w:val="left"/>
      <w:pPr>
        <w:ind w:left="0" w:firstLine="0"/>
      </w:pPr>
      <w:rPr>
        <w:rFonts w:ascii="Arial" w:eastAsia="Arial" w:hAnsi="Arial" w:cs="Arial"/>
        <w:b w:val="0"/>
        <w:bCs w:val="0"/>
        <w:i w:val="0"/>
        <w:iCs w:val="0"/>
        <w:sz w:val="20"/>
        <w:szCs w:val="20"/>
      </w:rPr>
    </w:lvl>
    <w:lvl w:ilvl="2">
      <w:numFmt w:val="decimal"/>
      <w:lvlText w:val=""/>
      <w:lvlJc w:val="left"/>
      <w:pPr>
        <w:ind w:left="0" w:firstLine="0"/>
      </w:pPr>
      <w:rPr>
        <w:rFonts w:ascii="Arial" w:eastAsia="Arial" w:hAnsi="Arial" w:cs="Arial"/>
        <w:b w:val="0"/>
        <w:bCs w:val="0"/>
        <w:i w:val="0"/>
        <w:iCs w:val="0"/>
        <w:sz w:val="20"/>
        <w:szCs w:val="20"/>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 w15:restartNumberingAfterBreak="0">
    <w:nsid w:val="35177407"/>
    <w:multiLevelType w:val="multilevel"/>
    <w:tmpl w:val="09764EE4"/>
    <w:lvl w:ilvl="0">
      <w:start w:val="1"/>
      <w:numFmt w:val="bullet"/>
      <w:lvlText w:val="-"/>
      <w:lvlJc w:val="left"/>
      <w:pPr>
        <w:ind w:left="720" w:hanging="360"/>
      </w:pPr>
      <w:rPr>
        <w:rFonts w:ascii="Arial" w:eastAsia="Arial" w:hAnsi="Arial" w:cs="Arial"/>
        <w:b w:val="0"/>
        <w:bCs w:val="0"/>
        <w:i w:val="0"/>
        <w:iCs w:val="0"/>
        <w:sz w:val="20"/>
        <w:szCs w:val="20"/>
      </w:rPr>
    </w:lvl>
    <w:lvl w:ilvl="1">
      <w:start w:val="1"/>
      <w:numFmt w:val="bullet"/>
      <w:lvlText w:val="o"/>
      <w:lvlJc w:val="left"/>
      <w:pPr>
        <w:ind w:left="1440" w:hanging="360"/>
      </w:pPr>
      <w:rPr>
        <w:rFonts w:ascii="Courier New" w:eastAsia="Courier New" w:hAnsi="Courier New" w:cs="Courier New"/>
        <w:b w:val="0"/>
        <w:bCs w:val="0"/>
        <w:i w:val="0"/>
        <w:iCs w:val="0"/>
        <w:sz w:val="20"/>
        <w:szCs w:val="20"/>
      </w:rPr>
    </w:lvl>
    <w:lvl w:ilvl="2">
      <w:start w:val="1"/>
      <w:numFmt w:val="bullet"/>
      <w:lvlText w:val="▪"/>
      <w:lvlJc w:val="left"/>
      <w:pPr>
        <w:ind w:left="2160" w:hanging="360"/>
      </w:pPr>
      <w:rPr>
        <w:rFonts w:ascii="Noto Sans Symbols" w:eastAsia="Noto Sans Symbols" w:hAnsi="Noto Sans Symbols" w:cs="Noto Sans Symbols"/>
        <w:b w:val="0"/>
        <w:bCs w:val="0"/>
        <w:i w:val="0"/>
        <w:iCs w:val="0"/>
        <w:sz w:val="20"/>
        <w:szCs w:val="20"/>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792A0A36"/>
    <w:multiLevelType w:val="multilevel"/>
    <w:tmpl w:val="C6E28284"/>
    <w:lvl w:ilvl="0">
      <w:start w:val="1"/>
      <w:numFmt w:val="bullet"/>
      <w:lvlText w:val="-"/>
      <w:lvlJc w:val="left"/>
      <w:pPr>
        <w:ind w:left="720" w:hanging="360"/>
      </w:pPr>
      <w:rPr>
        <w:rFonts w:ascii="Arial" w:eastAsia="Arial" w:hAnsi="Arial" w:cs="Arial"/>
        <w:b w:val="0"/>
        <w:bCs w:val="0"/>
        <w:i w:val="0"/>
        <w:iCs w:val="0"/>
        <w:sz w:val="20"/>
        <w:szCs w:val="20"/>
      </w:rPr>
    </w:lvl>
    <w:lvl w:ilvl="1">
      <w:start w:val="1"/>
      <w:numFmt w:val="bullet"/>
      <w:lvlText w:val="o"/>
      <w:lvlJc w:val="left"/>
      <w:pPr>
        <w:ind w:left="1440" w:hanging="360"/>
      </w:pPr>
      <w:rPr>
        <w:rFonts w:ascii="Courier New" w:eastAsia="Courier New" w:hAnsi="Courier New" w:cs="Courier New"/>
        <w:b w:val="0"/>
        <w:bCs w:val="0"/>
        <w:i w:val="0"/>
        <w:iCs w:val="0"/>
        <w:sz w:val="20"/>
        <w:szCs w:val="20"/>
      </w:rPr>
    </w:lvl>
    <w:lvl w:ilvl="2">
      <w:start w:val="1"/>
      <w:numFmt w:val="bullet"/>
      <w:lvlText w:val="▪"/>
      <w:lvlJc w:val="left"/>
      <w:pPr>
        <w:ind w:left="2160" w:hanging="360"/>
      </w:pPr>
      <w:rPr>
        <w:rFonts w:ascii="Noto Sans Symbols" w:eastAsia="Noto Sans Symbols" w:hAnsi="Noto Sans Symbols" w:cs="Noto Sans Symbols"/>
        <w:b w:val="0"/>
        <w:bCs w:val="0"/>
        <w:i w:val="0"/>
        <w:iCs w:val="0"/>
        <w:sz w:val="20"/>
        <w:szCs w:val="20"/>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1553"/>
    <w:rsid w:val="006F1553"/>
    <w:rsid w:val="00B42BFB"/>
    <w:rsid w:val="00D8277B"/>
    <w:rsid w:val="00E273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6D94F5"/>
  <w15:docId w15:val="{D462916D-07B6-4942-98D1-F96FC75754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Helvetica Neue" w:eastAsia="Helvetica Neue" w:hAnsi="Helvetica Neue" w:cs="Helvetica Neue"/>
        <w:sz w:val="24"/>
        <w:szCs w:val="24"/>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bCs/>
      <w:sz w:val="48"/>
      <w:szCs w:val="48"/>
    </w:rPr>
  </w:style>
  <w:style w:type="paragraph" w:styleId="Heading2">
    <w:name w:val="heading 2"/>
    <w:basedOn w:val="Normal"/>
    <w:next w:val="Normal"/>
    <w:pPr>
      <w:keepNext/>
      <w:keepLines/>
      <w:spacing w:before="360" w:after="80"/>
      <w:outlineLvl w:val="1"/>
    </w:pPr>
    <w:rPr>
      <w:b/>
      <w:bCs/>
      <w:sz w:val="36"/>
      <w:szCs w:val="36"/>
    </w:rPr>
  </w:style>
  <w:style w:type="paragraph" w:styleId="Heading3">
    <w:name w:val="heading 3"/>
    <w:basedOn w:val="Normal"/>
    <w:next w:val="Normal"/>
    <w:pPr>
      <w:keepNext/>
      <w:keepLines/>
      <w:spacing w:before="280" w:after="80"/>
      <w:outlineLvl w:val="2"/>
    </w:pPr>
    <w:rPr>
      <w:b/>
      <w:bCs/>
      <w:sz w:val="28"/>
      <w:szCs w:val="28"/>
    </w:rPr>
  </w:style>
  <w:style w:type="paragraph" w:styleId="Heading4">
    <w:name w:val="heading 4"/>
    <w:basedOn w:val="Normal"/>
    <w:next w:val="Normal"/>
    <w:pPr>
      <w:keepNext/>
      <w:keepLines/>
      <w:spacing w:before="240" w:after="40"/>
      <w:outlineLvl w:val="3"/>
    </w:pPr>
    <w:rPr>
      <w:b/>
      <w:bCs/>
    </w:rPr>
  </w:style>
  <w:style w:type="paragraph" w:styleId="Heading5">
    <w:name w:val="heading 5"/>
    <w:basedOn w:val="Normal"/>
    <w:next w:val="Normal"/>
    <w:pPr>
      <w:keepNext/>
      <w:keepLines/>
      <w:spacing w:before="220" w:after="40"/>
      <w:outlineLvl w:val="4"/>
    </w:pPr>
    <w:rPr>
      <w:b/>
      <w:bCs/>
      <w:sz w:val="22"/>
      <w:szCs w:val="22"/>
    </w:rPr>
  </w:style>
  <w:style w:type="paragraph" w:styleId="Heading6">
    <w:name w:val="heading 6"/>
    <w:basedOn w:val="Normal"/>
    <w:next w:val="Normal"/>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before="480" w:after="120"/>
    </w:pPr>
    <w:rPr>
      <w:b/>
      <w:bCs/>
      <w:sz w:val="72"/>
      <w:szCs w:val="72"/>
    </w:rPr>
  </w:style>
  <w:style w:type="paragraph" w:styleId="Subtitle">
    <w:name w:val="Subtitle"/>
    <w:basedOn w:val="Normal"/>
    <w:next w:val="Normal"/>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top w:w="0" w:type="dxa"/>
        <w:left w:w="10" w:type="dxa"/>
        <w:bottom w:w="0" w:type="dxa"/>
        <w:right w:w="10" w:type="dxa"/>
      </w:tblCellMar>
    </w:tblPr>
  </w:style>
  <w:style w:type="table" w:customStyle="1" w:styleId="a0">
    <w:basedOn w:val="TableNormal0"/>
    <w:tblPr>
      <w:tblStyleRowBandSize w:val="1"/>
      <w:tblStyleColBandSize w:val="1"/>
      <w:tblCellMar>
        <w:top w:w="0" w:type="dxa"/>
        <w:left w:w="10" w:type="dxa"/>
        <w:bottom w:w="0" w:type="dxa"/>
        <w:right w:w="10" w:type="dxa"/>
      </w:tblCellMar>
    </w:tblPr>
  </w:style>
  <w:style w:type="table" w:customStyle="1" w:styleId="a1">
    <w:basedOn w:val="TableNormal0"/>
    <w:tblPr>
      <w:tblStyleRowBandSize w:val="1"/>
      <w:tblStyleColBandSize w:val="1"/>
      <w:tblCellMar>
        <w:top w:w="0" w:type="dxa"/>
        <w:left w:w="10" w:type="dxa"/>
        <w:bottom w:w="0" w:type="dxa"/>
        <w:right w:w="1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LsQjSDQ0BPlOGe/rw2rnyUzoc1A==">CgMxLjAyDmguemloMXZqY3Q0NWc1OAByITFrd1Jxcm1vcXpLaGxZcGRLYVJ2eW4zQ21mZVUtclF1TQ==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931</Words>
  <Characters>5310</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 Duc Quan</dc:creator>
  <cp:lastModifiedBy>Nguyen Duc Quan</cp:lastModifiedBy>
  <cp:revision>2</cp:revision>
  <dcterms:created xsi:type="dcterms:W3CDTF">2026-07-09T04:19:00Z</dcterms:created>
  <dcterms:modified xsi:type="dcterms:W3CDTF">2026-07-09T04:19:00Z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c573fb0c-94fe-4d09-ab26-b6ddd510001c</vt:lpwstr>
  </property>
</Properties>
</file>