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49B" w:rsidRPr="00FD3D1B" w:rsidRDefault="00FD3D1B" w:rsidP="00BF43E3">
      <w:pPr>
        <w:keepNext/>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bookmarkStart w:id="0" w:name="_heading=h.w1bw75wtxwme"/>
      <w:bookmarkStart w:id="1" w:name="_GoBack"/>
      <w:bookmarkEnd w:id="0"/>
      <w:r w:rsidRPr="00FD3D1B">
        <w:rPr>
          <w:rFonts w:ascii="Arial" w:hAnsi="Arial" w:cs="Arial"/>
          <w:b/>
          <w:bCs/>
          <w:color w:val="010000"/>
          <w:sz w:val="20"/>
        </w:rPr>
        <w:t>CT6</w:t>
      </w:r>
      <w:r w:rsidRPr="00FD3D1B">
        <w:rPr>
          <w:rFonts w:ascii="Arial" w:hAnsi="Arial" w:cs="Arial"/>
          <w:b/>
          <w:color w:val="010000"/>
          <w:sz w:val="20"/>
        </w:rPr>
        <w:t xml:space="preserve"> Board Resolution</w:t>
      </w:r>
    </w:p>
    <w:p w:rsidR="0042049B" w:rsidRPr="00FD3D1B" w:rsidRDefault="00FD3D1B" w:rsidP="00BF43E3">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On July 6, 2026, Construction JSC No. 6 announced Resolution No. 26/NQ-HDQT as follows:</w:t>
      </w:r>
    </w:p>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Article 1. Approve the report on the Company's production and business results in the first six months of 2026 and the production and business plan for the last six months of 2026, specifically as follows:</w:t>
      </w:r>
    </w:p>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1.1 Results of production and business targets in the first six months of 2026:</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5"/>
        <w:gridCol w:w="3764"/>
        <w:gridCol w:w="1367"/>
        <w:gridCol w:w="1816"/>
        <w:gridCol w:w="1205"/>
      </w:tblGrid>
      <w:tr w:rsidR="0042049B" w:rsidRPr="00FD3D1B" w:rsidTr="00FD3D1B">
        <w:tc>
          <w:tcPr>
            <w:tcW w:w="48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 xml:space="preserve">No. </w:t>
            </w:r>
          </w:p>
        </w:tc>
        <w:tc>
          <w:tcPr>
            <w:tcW w:w="20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Targets of production and business</w:t>
            </w:r>
          </w:p>
        </w:tc>
        <w:tc>
          <w:tcPr>
            <w:tcW w:w="75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Plan 2026</w:t>
            </w:r>
          </w:p>
        </w:tc>
        <w:tc>
          <w:tcPr>
            <w:tcW w:w="100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Results for first six months</w:t>
            </w:r>
          </w:p>
        </w:tc>
        <w:tc>
          <w:tcPr>
            <w:tcW w:w="66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Rate %</w:t>
            </w:r>
          </w:p>
        </w:tc>
      </w:tr>
      <w:tr w:rsidR="0042049B" w:rsidRPr="00FD3D1B" w:rsidTr="00FD3D1B">
        <w:tc>
          <w:tcPr>
            <w:tcW w:w="48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w:t>
            </w:r>
          </w:p>
        </w:tc>
        <w:tc>
          <w:tcPr>
            <w:tcW w:w="20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Production value (billion VND)</w:t>
            </w:r>
          </w:p>
        </w:tc>
        <w:tc>
          <w:tcPr>
            <w:tcW w:w="75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140</w:t>
            </w:r>
          </w:p>
        </w:tc>
        <w:tc>
          <w:tcPr>
            <w:tcW w:w="100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51.55</w:t>
            </w:r>
          </w:p>
        </w:tc>
        <w:tc>
          <w:tcPr>
            <w:tcW w:w="66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36.82</w:t>
            </w:r>
          </w:p>
        </w:tc>
      </w:tr>
      <w:tr w:rsidR="0042049B" w:rsidRPr="00FD3D1B" w:rsidTr="00FD3D1B">
        <w:tc>
          <w:tcPr>
            <w:tcW w:w="48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2</w:t>
            </w:r>
          </w:p>
        </w:tc>
        <w:tc>
          <w:tcPr>
            <w:tcW w:w="20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Revenue (billion VND)</w:t>
            </w:r>
          </w:p>
        </w:tc>
        <w:tc>
          <w:tcPr>
            <w:tcW w:w="75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120</w:t>
            </w:r>
          </w:p>
        </w:tc>
        <w:tc>
          <w:tcPr>
            <w:tcW w:w="100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31</w:t>
            </w:r>
          </w:p>
        </w:tc>
        <w:tc>
          <w:tcPr>
            <w:tcW w:w="66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25.83</w:t>
            </w:r>
          </w:p>
        </w:tc>
      </w:tr>
      <w:tr w:rsidR="0042049B" w:rsidRPr="00FD3D1B" w:rsidTr="00FD3D1B">
        <w:tc>
          <w:tcPr>
            <w:tcW w:w="48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3</w:t>
            </w:r>
          </w:p>
        </w:tc>
        <w:tc>
          <w:tcPr>
            <w:tcW w:w="20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Profit before tax(billion VND)</w:t>
            </w:r>
          </w:p>
        </w:tc>
        <w:tc>
          <w:tcPr>
            <w:tcW w:w="75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 2</w:t>
            </w:r>
          </w:p>
        </w:tc>
        <w:tc>
          <w:tcPr>
            <w:tcW w:w="1007" w:type="pct"/>
            <w:shd w:val="clear" w:color="auto" w:fill="auto"/>
            <w:tcMar>
              <w:top w:w="0" w:type="dxa"/>
              <w:bottom w:w="0" w:type="dxa"/>
            </w:tcMar>
            <w:vAlign w:val="center"/>
          </w:tcPr>
          <w:p w:rsidR="0042049B" w:rsidRPr="00FD3D1B" w:rsidRDefault="0042049B" w:rsidP="00BF43E3">
            <w:pPr>
              <w:tabs>
                <w:tab w:val="left" w:pos="720"/>
              </w:tabs>
              <w:spacing w:after="120" w:line="360" w:lineRule="auto"/>
              <w:jc w:val="both"/>
              <w:rPr>
                <w:rFonts w:ascii="Arial" w:eastAsia="Arial" w:hAnsi="Arial" w:cs="Arial"/>
                <w:color w:val="010000"/>
                <w:sz w:val="20"/>
                <w:szCs w:val="20"/>
              </w:rPr>
            </w:pPr>
          </w:p>
        </w:tc>
        <w:tc>
          <w:tcPr>
            <w:tcW w:w="668" w:type="pct"/>
            <w:shd w:val="clear" w:color="auto" w:fill="auto"/>
            <w:tcMar>
              <w:top w:w="0" w:type="dxa"/>
              <w:bottom w:w="0" w:type="dxa"/>
            </w:tcMar>
            <w:vAlign w:val="center"/>
          </w:tcPr>
          <w:p w:rsidR="0042049B" w:rsidRPr="00FD3D1B" w:rsidRDefault="0042049B" w:rsidP="00BF43E3">
            <w:pPr>
              <w:tabs>
                <w:tab w:val="left" w:pos="720"/>
              </w:tabs>
              <w:spacing w:after="120" w:line="360" w:lineRule="auto"/>
              <w:jc w:val="both"/>
              <w:rPr>
                <w:rFonts w:ascii="Arial" w:eastAsia="Arial" w:hAnsi="Arial" w:cs="Arial"/>
                <w:color w:val="010000"/>
                <w:sz w:val="20"/>
                <w:szCs w:val="20"/>
              </w:rPr>
            </w:pPr>
          </w:p>
        </w:tc>
      </w:tr>
      <w:tr w:rsidR="0042049B" w:rsidRPr="00FD3D1B" w:rsidTr="00FD3D1B">
        <w:tc>
          <w:tcPr>
            <w:tcW w:w="48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4</w:t>
            </w:r>
          </w:p>
        </w:tc>
        <w:tc>
          <w:tcPr>
            <w:tcW w:w="20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Investment (billion VND)</w:t>
            </w:r>
          </w:p>
        </w:tc>
        <w:tc>
          <w:tcPr>
            <w:tcW w:w="75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50</w:t>
            </w:r>
          </w:p>
        </w:tc>
        <w:tc>
          <w:tcPr>
            <w:tcW w:w="100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0.393</w:t>
            </w:r>
          </w:p>
        </w:tc>
        <w:tc>
          <w:tcPr>
            <w:tcW w:w="66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0.786</w:t>
            </w:r>
          </w:p>
        </w:tc>
      </w:tr>
      <w:tr w:rsidR="0042049B" w:rsidRPr="00FD3D1B" w:rsidTr="00FD3D1B">
        <w:tc>
          <w:tcPr>
            <w:tcW w:w="48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5</w:t>
            </w:r>
          </w:p>
        </w:tc>
        <w:tc>
          <w:tcPr>
            <w:tcW w:w="20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Average income (Million VND/person/month)</w:t>
            </w:r>
          </w:p>
        </w:tc>
        <w:tc>
          <w:tcPr>
            <w:tcW w:w="758"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13</w:t>
            </w:r>
          </w:p>
        </w:tc>
        <w:tc>
          <w:tcPr>
            <w:tcW w:w="100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13</w:t>
            </w:r>
          </w:p>
        </w:tc>
        <w:tc>
          <w:tcPr>
            <w:tcW w:w="668" w:type="pct"/>
            <w:shd w:val="clear" w:color="auto" w:fill="auto"/>
            <w:tcMar>
              <w:top w:w="0" w:type="dxa"/>
              <w:bottom w:w="0" w:type="dxa"/>
            </w:tcMar>
            <w:vAlign w:val="center"/>
          </w:tcPr>
          <w:p w:rsidR="0042049B" w:rsidRPr="00FD3D1B" w:rsidRDefault="0042049B" w:rsidP="00BF43E3">
            <w:pPr>
              <w:tabs>
                <w:tab w:val="left" w:pos="720"/>
              </w:tabs>
              <w:spacing w:after="120" w:line="360" w:lineRule="auto"/>
              <w:jc w:val="both"/>
              <w:rPr>
                <w:rFonts w:ascii="Arial" w:eastAsia="Arial" w:hAnsi="Arial" w:cs="Arial"/>
                <w:color w:val="010000"/>
                <w:sz w:val="20"/>
                <w:szCs w:val="20"/>
              </w:rPr>
            </w:pPr>
          </w:p>
        </w:tc>
      </w:tr>
    </w:tbl>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1.2 Expected targets of production and business in the last six months of 2026</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78"/>
        <w:gridCol w:w="5560"/>
        <w:gridCol w:w="2579"/>
      </w:tblGrid>
      <w:tr w:rsidR="0042049B" w:rsidRPr="00FD3D1B" w:rsidTr="00FD3D1B">
        <w:tc>
          <w:tcPr>
            <w:tcW w:w="4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 xml:space="preserve">No. </w:t>
            </w:r>
          </w:p>
        </w:tc>
        <w:tc>
          <w:tcPr>
            <w:tcW w:w="3083"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Targets of production and business</w:t>
            </w:r>
          </w:p>
        </w:tc>
        <w:tc>
          <w:tcPr>
            <w:tcW w:w="143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Plan for the last six months of 2026</w:t>
            </w:r>
          </w:p>
        </w:tc>
      </w:tr>
      <w:tr w:rsidR="0042049B" w:rsidRPr="00FD3D1B" w:rsidTr="00FD3D1B">
        <w:tc>
          <w:tcPr>
            <w:tcW w:w="4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w:t>
            </w:r>
          </w:p>
        </w:tc>
        <w:tc>
          <w:tcPr>
            <w:tcW w:w="3083"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Production value (billion VND)</w:t>
            </w:r>
          </w:p>
        </w:tc>
        <w:tc>
          <w:tcPr>
            <w:tcW w:w="143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88.49</w:t>
            </w:r>
          </w:p>
        </w:tc>
      </w:tr>
      <w:tr w:rsidR="0042049B" w:rsidRPr="00FD3D1B" w:rsidTr="00FD3D1B">
        <w:tc>
          <w:tcPr>
            <w:tcW w:w="4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2</w:t>
            </w:r>
          </w:p>
        </w:tc>
        <w:tc>
          <w:tcPr>
            <w:tcW w:w="3083"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Revenue (billion VND)</w:t>
            </w:r>
          </w:p>
        </w:tc>
        <w:tc>
          <w:tcPr>
            <w:tcW w:w="143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89</w:t>
            </w:r>
          </w:p>
        </w:tc>
      </w:tr>
      <w:tr w:rsidR="0042049B" w:rsidRPr="00FD3D1B" w:rsidTr="00FD3D1B">
        <w:tc>
          <w:tcPr>
            <w:tcW w:w="4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3</w:t>
            </w:r>
          </w:p>
        </w:tc>
        <w:tc>
          <w:tcPr>
            <w:tcW w:w="3083"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Profit before tax (Billion VND)</w:t>
            </w:r>
          </w:p>
        </w:tc>
        <w:tc>
          <w:tcPr>
            <w:tcW w:w="143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 2</w:t>
            </w:r>
          </w:p>
        </w:tc>
      </w:tr>
      <w:tr w:rsidR="0042049B" w:rsidRPr="00FD3D1B" w:rsidTr="00FD3D1B">
        <w:tc>
          <w:tcPr>
            <w:tcW w:w="487"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4</w:t>
            </w:r>
          </w:p>
        </w:tc>
        <w:tc>
          <w:tcPr>
            <w:tcW w:w="3083"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Average income (Million VND/person/month)</w:t>
            </w:r>
          </w:p>
        </w:tc>
        <w:tc>
          <w:tcPr>
            <w:tcW w:w="1430" w:type="pct"/>
            <w:shd w:val="clear" w:color="auto" w:fill="auto"/>
            <w:tcMar>
              <w:top w:w="0" w:type="dxa"/>
              <w:bottom w:w="0" w:type="dxa"/>
            </w:tcMar>
            <w:vAlign w:val="center"/>
          </w:tcPr>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13</w:t>
            </w:r>
          </w:p>
        </w:tc>
      </w:tr>
    </w:tbl>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Approve the list of machinery and equipment invested in the first 6 months of 2026 and approve the machinery and equipment investment plan for the last 6 months of 2026.</w:t>
      </w:r>
    </w:p>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‎‎Article 2. Approve the management solutions for the last six months of 2026, with particular emphasis on marketing activities and securing new business opportunities. Actively maintain close coordination with Vietnam Railways Corporation, Project Management Boards, and entities outside the railway sector to secure new contracts, especially urban railway projects and projects invested in by large corporations.</w:t>
      </w:r>
    </w:p>
    <w:p w:rsidR="0042049B" w:rsidRPr="00FD3D1B" w:rsidRDefault="00FD3D1B" w:rsidP="00BF43E3">
      <w:pPr>
        <w:numPr>
          <w:ilvl w:val="0"/>
          <w:numId w:val="1"/>
        </w:numPr>
        <w:pBdr>
          <w:top w:val="nil"/>
          <w:left w:val="nil"/>
          <w:bottom w:val="nil"/>
          <w:right w:val="nil"/>
          <w:between w:val="nil"/>
        </w:pBdr>
        <w:tabs>
          <w:tab w:val="left" w:pos="720"/>
          <w:tab w:val="left" w:pos="2634"/>
        </w:tabs>
        <w:spacing w:after="120" w:line="360" w:lineRule="auto"/>
        <w:jc w:val="both"/>
        <w:rPr>
          <w:rFonts w:ascii="Arial" w:eastAsia="Arial" w:hAnsi="Arial" w:cs="Arial"/>
          <w:color w:val="010000"/>
          <w:sz w:val="20"/>
          <w:szCs w:val="20"/>
        </w:rPr>
      </w:pPr>
      <w:r w:rsidRPr="00FD3D1B">
        <w:rPr>
          <w:rFonts w:ascii="Arial" w:hAnsi="Arial" w:cs="Arial"/>
          <w:color w:val="010000"/>
          <w:sz w:val="20"/>
        </w:rPr>
        <w:t>Focus on personnel training and recruitment without imposing a recruitment cap in order to meet the workforce requirements of upcoming railway and road construction projects.</w:t>
      </w:r>
    </w:p>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Article 3. Review completed projects that have not yet been finally settled and complete all payment procedures to ensure timely recovery of capital for business operations.</w:t>
      </w:r>
    </w:p>
    <w:p w:rsidR="0042049B" w:rsidRPr="00FD3D1B" w:rsidRDefault="00FD3D1B" w:rsidP="00BF43E3">
      <w:pPr>
        <w:numPr>
          <w:ilvl w:val="0"/>
          <w:numId w:val="1"/>
        </w:numPr>
        <w:pBdr>
          <w:top w:val="nil"/>
          <w:left w:val="nil"/>
          <w:bottom w:val="nil"/>
          <w:right w:val="nil"/>
          <w:between w:val="nil"/>
        </w:pBdr>
        <w:tabs>
          <w:tab w:val="left" w:pos="720"/>
          <w:tab w:val="left" w:pos="2638"/>
        </w:tabs>
        <w:spacing w:after="120" w:line="360" w:lineRule="auto"/>
        <w:jc w:val="both"/>
        <w:rPr>
          <w:rFonts w:ascii="Arial" w:eastAsia="Arial" w:hAnsi="Arial" w:cs="Arial"/>
          <w:color w:val="010000"/>
          <w:sz w:val="20"/>
          <w:szCs w:val="20"/>
        </w:rPr>
      </w:pPr>
      <w:r w:rsidRPr="00FD3D1B">
        <w:rPr>
          <w:rFonts w:ascii="Arial" w:hAnsi="Arial" w:cs="Arial"/>
          <w:color w:val="010000"/>
          <w:sz w:val="20"/>
        </w:rPr>
        <w:t>Review expenses and implement reasonable cost-saving measures to improve operational efficiency and profitability;</w:t>
      </w:r>
    </w:p>
    <w:p w:rsidR="0042049B" w:rsidRPr="00FD3D1B" w:rsidRDefault="00FD3D1B" w:rsidP="00BF43E3">
      <w:pPr>
        <w:numPr>
          <w:ilvl w:val="0"/>
          <w:numId w:val="1"/>
        </w:numPr>
        <w:pBdr>
          <w:top w:val="nil"/>
          <w:left w:val="nil"/>
          <w:bottom w:val="nil"/>
          <w:right w:val="nil"/>
          <w:between w:val="nil"/>
        </w:pBdr>
        <w:tabs>
          <w:tab w:val="left" w:pos="720"/>
          <w:tab w:val="left" w:pos="2633"/>
        </w:tabs>
        <w:spacing w:after="120" w:line="360" w:lineRule="auto"/>
        <w:jc w:val="both"/>
        <w:rPr>
          <w:rFonts w:ascii="Arial" w:eastAsia="Arial" w:hAnsi="Arial" w:cs="Arial"/>
          <w:color w:val="010000"/>
          <w:sz w:val="20"/>
          <w:szCs w:val="20"/>
        </w:rPr>
      </w:pPr>
      <w:r w:rsidRPr="00FD3D1B">
        <w:rPr>
          <w:rFonts w:ascii="Arial" w:hAnsi="Arial" w:cs="Arial"/>
          <w:color w:val="010000"/>
          <w:sz w:val="20"/>
        </w:rPr>
        <w:lastRenderedPageBreak/>
        <w:t>Inspect assets that are no longer usable for liquidation to generate funds for reinvestment in workshops, machinery, equipment, and necessary materials to serve production and business;</w:t>
      </w:r>
    </w:p>
    <w:p w:rsidR="0042049B" w:rsidRPr="00FD3D1B" w:rsidRDefault="00FD3D1B" w:rsidP="00BF43E3">
      <w:pPr>
        <w:numPr>
          <w:ilvl w:val="0"/>
          <w:numId w:val="1"/>
        </w:numPr>
        <w:pBdr>
          <w:top w:val="nil"/>
          <w:left w:val="nil"/>
          <w:bottom w:val="nil"/>
          <w:right w:val="nil"/>
          <w:between w:val="nil"/>
        </w:pBdr>
        <w:tabs>
          <w:tab w:val="left" w:pos="720"/>
          <w:tab w:val="left" w:pos="2638"/>
        </w:tabs>
        <w:spacing w:after="120" w:line="360" w:lineRule="auto"/>
        <w:jc w:val="both"/>
        <w:rPr>
          <w:rFonts w:ascii="Arial" w:eastAsia="Arial" w:hAnsi="Arial" w:cs="Arial"/>
          <w:color w:val="010000"/>
          <w:sz w:val="20"/>
          <w:szCs w:val="20"/>
        </w:rPr>
      </w:pPr>
      <w:r w:rsidRPr="00FD3D1B">
        <w:rPr>
          <w:rFonts w:ascii="Arial" w:hAnsi="Arial" w:cs="Arial"/>
          <w:color w:val="010000"/>
          <w:sz w:val="20"/>
        </w:rPr>
        <w:t>Review all business cooperation contracts to sign amended contract appendices to adjust profit and ensure payment of land tax to the State; Reconcile receivables and payables with related parties to recover outstanding debts arising in the first six months of 2026;</w:t>
      </w:r>
    </w:p>
    <w:p w:rsidR="0042049B" w:rsidRPr="00FD3D1B" w:rsidRDefault="00FD3D1B" w:rsidP="00BF43E3">
      <w:pPr>
        <w:numPr>
          <w:ilvl w:val="0"/>
          <w:numId w:val="1"/>
        </w:numPr>
        <w:pBdr>
          <w:top w:val="nil"/>
          <w:left w:val="nil"/>
          <w:bottom w:val="nil"/>
          <w:right w:val="nil"/>
          <w:between w:val="nil"/>
        </w:pBdr>
        <w:tabs>
          <w:tab w:val="left" w:pos="720"/>
          <w:tab w:val="left" w:pos="2638"/>
        </w:tabs>
        <w:spacing w:after="120" w:line="360" w:lineRule="auto"/>
        <w:jc w:val="both"/>
        <w:rPr>
          <w:rFonts w:ascii="Arial" w:eastAsia="Arial" w:hAnsi="Arial" w:cs="Arial"/>
          <w:color w:val="010000"/>
          <w:sz w:val="20"/>
          <w:szCs w:val="20"/>
        </w:rPr>
      </w:pPr>
      <w:r w:rsidRPr="00FD3D1B">
        <w:rPr>
          <w:rFonts w:ascii="Arial" w:hAnsi="Arial" w:cs="Arial"/>
          <w:color w:val="010000"/>
          <w:sz w:val="20"/>
        </w:rPr>
        <w:t xml:space="preserve">Continue seeking investors for the consortium to invest in the </w:t>
      </w:r>
      <w:proofErr w:type="spellStart"/>
      <w:r w:rsidRPr="00FD3D1B">
        <w:rPr>
          <w:rFonts w:ascii="Arial" w:hAnsi="Arial" w:cs="Arial"/>
          <w:color w:val="010000"/>
          <w:sz w:val="20"/>
        </w:rPr>
        <w:t>prestressed</w:t>
      </w:r>
      <w:proofErr w:type="spellEnd"/>
      <w:r w:rsidRPr="00FD3D1B">
        <w:rPr>
          <w:rFonts w:ascii="Arial" w:hAnsi="Arial" w:cs="Arial"/>
          <w:color w:val="010000"/>
          <w:sz w:val="20"/>
        </w:rPr>
        <w:t xml:space="preserve"> concrete sleeper production line.</w:t>
      </w:r>
    </w:p>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 xml:space="preserve">Article 4. Approve the solution plan for the land area in Ho Chi Minh City: Find a joint venture partner or lease the land to effectively utilize the land and ensure the annual land tax payment. </w:t>
      </w:r>
    </w:p>
    <w:p w:rsidR="0042049B" w:rsidRPr="00FD3D1B" w:rsidRDefault="00FD3D1B" w:rsidP="00BF43E3">
      <w:pPr>
        <w:numPr>
          <w:ilvl w:val="0"/>
          <w:numId w:val="1"/>
        </w:num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 xml:space="preserve"> Regarding the land area in the Co Loa Railway Station: Continue working with the competent authorities to complete procedures for obtaining a Land Use Rights Certificate.</w:t>
      </w:r>
    </w:p>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Article 5. Utilize effectively relationships with suppliers and financial institutions to ensure the debt-to-equity plan is met in payments and the necessary loan and guarantee capital for production and business.</w:t>
      </w:r>
    </w:p>
    <w:p w:rsidR="0042049B" w:rsidRPr="00FD3D1B" w:rsidRDefault="00FD3D1B" w:rsidP="00BF43E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FD3D1B">
        <w:rPr>
          <w:rFonts w:ascii="Arial" w:hAnsi="Arial" w:cs="Arial"/>
          <w:color w:val="010000"/>
          <w:sz w:val="20"/>
        </w:rPr>
        <w:t>Article 6. Terms of enforcement: Assign the General Manager to implement and organize the execution of this Resolution. This Resolution takes effect immediately upon its signing and disclosure of information./.</w:t>
      </w:r>
      <w:bookmarkEnd w:id="1"/>
    </w:p>
    <w:sectPr w:rsidR="0042049B" w:rsidRPr="00FD3D1B" w:rsidSect="00FD3D1B">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57CCF65C-5D0D-4382-BCEF-D18CF77B2C1C}"/>
    <w:embedBold r:id="rId2" w:fontKey="{E42F51E0-1D01-4CA9-9EA6-55CC66650D8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A6964B8C-C2F3-4C2A-B8E9-FABEBD542308}"/>
  </w:font>
  <w:font w:name="Calibri">
    <w:panose1 w:val="020F0502020204030204"/>
    <w:charset w:val="00"/>
    <w:family w:val="swiss"/>
    <w:pitch w:val="variable"/>
    <w:sig w:usb0="E4002EFF" w:usb1="C200247B" w:usb2="00000009" w:usb3="00000000" w:csb0="000001FF" w:csb1="00000000"/>
    <w:embedRegular r:id="rId4" w:fontKey="{B0875450-A26D-455A-935E-9733BFD3A1FA}"/>
  </w:font>
  <w:font w:name="Cambria">
    <w:panose1 w:val="02040503050406030204"/>
    <w:charset w:val="00"/>
    <w:family w:val="roman"/>
    <w:pitch w:val="variable"/>
    <w:sig w:usb0="E00006FF" w:usb1="420024FF" w:usb2="02000000" w:usb3="00000000" w:csb0="0000019F" w:csb1="00000000"/>
    <w:embedRegular r:id="rId5" w:fontKey="{01C04EA6-BC8A-420E-9347-607519EC4B47}"/>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8E77F0"/>
    <w:multiLevelType w:val="multilevel"/>
    <w:tmpl w:val="FC5291D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49B"/>
    <w:rsid w:val="0042049B"/>
    <w:rsid w:val="00BF43E3"/>
    <w:rsid w:val="00FD3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D35E99-EA84-4A0D-B8B8-9DE4FC1B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ZqNBMTUu4ulUedIyjtozNU0BgQ==">CgMxLjAyDmgudzFidzc1d3R4d21lOAByITF5ZzQ5cENDaWQtaGh4VzhQT3l0cV8zNi1xTnktNXNxbQ==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510</Words>
  <Characters>2910</Characters>
  <Application>Microsoft Office Word</Application>
  <DocSecurity>0</DocSecurity>
  <Lines>24</Lines>
  <Paragraphs>6</Paragraphs>
  <ScaleCrop>false</ScaleCrop>
  <Company>Microsoft</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2026-07-10T02:31:00Z</dcterms:created>
  <dcterms:modified xsi:type="dcterms:W3CDTF">2026-07-10T09:21:00Z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7a0e9f34-74b0-48c1-9e58-1a31a818debc</vt:lpwstr>
  </property>
</Properties>
</file>