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517B" w:rsidRPr="0070115D" w:rsidRDefault="0070115D" w:rsidP="00243D8F">
      <w:pPr>
        <w:pBdr>
          <w:top w:val="nil"/>
          <w:left w:val="nil"/>
          <w:bottom w:val="nil"/>
          <w:right w:val="nil"/>
          <w:between w:val="nil"/>
        </w:pBdr>
        <w:tabs>
          <w:tab w:val="left" w:pos="720"/>
        </w:tabs>
        <w:spacing w:after="120" w:line="360" w:lineRule="auto"/>
        <w:jc w:val="both"/>
        <w:rPr>
          <w:rFonts w:ascii="Arial" w:eastAsia="Arial" w:hAnsi="Arial" w:cs="Arial"/>
          <w:b/>
          <w:bCs/>
          <w:color w:val="010000"/>
          <w:sz w:val="20"/>
          <w:szCs w:val="20"/>
        </w:rPr>
      </w:pPr>
      <w:bookmarkStart w:id="0" w:name="_heading=h.onhtxtdbg80x"/>
      <w:bookmarkStart w:id="1" w:name="_GoBack"/>
      <w:bookmarkEnd w:id="0"/>
      <w:r w:rsidRPr="0070115D">
        <w:rPr>
          <w:rFonts w:ascii="Arial" w:hAnsi="Arial" w:cs="Arial"/>
          <w:b/>
          <w:color w:val="010000"/>
          <w:sz w:val="20"/>
        </w:rPr>
        <w:t>BHC: Annual General Mandate 2026</w:t>
      </w:r>
    </w:p>
    <w:p w:rsidR="0090517B" w:rsidRPr="0070115D" w:rsidRDefault="0070115D" w:rsidP="00243D8F">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On June 11, 2026, Bien Hoa Concrete Joint Stock Company announced General Mandate No. 12/2026/NQ-BHC-DHCD as follows:</w:t>
      </w:r>
    </w:p>
    <w:p w:rsidR="0090517B" w:rsidRPr="0070115D" w:rsidRDefault="0070115D" w:rsidP="00243D8F">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Article 1: Approve the Report on production and business results in 2025 and the plan for 2026.</w:t>
      </w:r>
    </w:p>
    <w:tbl>
      <w:tblPr>
        <w:tblStyle w:val="a"/>
        <w:tblW w:w="5000" w:type="pct"/>
        <w:tblInd w:w="0" w:type="dxa"/>
        <w:tblLook w:val="0400" w:firstRow="0" w:lastRow="0" w:firstColumn="0" w:lastColumn="0" w:noHBand="0" w:noVBand="1"/>
      </w:tblPr>
      <w:tblGrid>
        <w:gridCol w:w="515"/>
        <w:gridCol w:w="3025"/>
        <w:gridCol w:w="996"/>
        <w:gridCol w:w="992"/>
        <w:gridCol w:w="1143"/>
        <w:gridCol w:w="1078"/>
        <w:gridCol w:w="1268"/>
      </w:tblGrid>
      <w:tr w:rsidR="0090517B" w:rsidRPr="0070115D" w:rsidTr="0070115D">
        <w:tc>
          <w:tcPr>
            <w:tcW w:w="297" w:type="pct"/>
            <w:vMerge w:val="restart"/>
            <w:tcBorders>
              <w:top w:val="single" w:sz="4" w:space="0" w:color="000000"/>
              <w:left w:val="single" w:sz="4" w:space="0" w:color="000000"/>
            </w:tcBorders>
            <w:shd w:val="clear" w:color="auto" w:fill="auto"/>
            <w:tcMar>
              <w:top w:w="0" w:type="dxa"/>
              <w:bottom w:w="0" w:type="dxa"/>
            </w:tcMar>
            <w:vAlign w:val="center"/>
          </w:tcPr>
          <w:p w:rsidR="0090517B" w:rsidRPr="0070115D" w:rsidRDefault="0070115D" w:rsidP="00243D8F">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 xml:space="preserve">No. </w:t>
            </w:r>
          </w:p>
        </w:tc>
        <w:tc>
          <w:tcPr>
            <w:tcW w:w="1689" w:type="pct"/>
            <w:vMerge w:val="restart"/>
            <w:tcBorders>
              <w:top w:val="single" w:sz="4" w:space="0" w:color="000000"/>
              <w:left w:val="single" w:sz="4" w:space="0" w:color="000000"/>
            </w:tcBorders>
            <w:shd w:val="clear" w:color="auto" w:fill="auto"/>
            <w:tcMar>
              <w:top w:w="0" w:type="dxa"/>
              <w:bottom w:w="0" w:type="dxa"/>
            </w:tcMar>
            <w:vAlign w:val="center"/>
          </w:tcPr>
          <w:p w:rsidR="0090517B" w:rsidRPr="0070115D" w:rsidRDefault="0070115D" w:rsidP="00243D8F">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Contents:</w:t>
            </w:r>
          </w:p>
        </w:tc>
        <w:tc>
          <w:tcPr>
            <w:tcW w:w="1691" w:type="pct"/>
            <w:gridSpan w:val="3"/>
            <w:tcBorders>
              <w:top w:val="single" w:sz="4" w:space="0" w:color="000000"/>
              <w:left w:val="single" w:sz="4" w:space="0" w:color="000000"/>
            </w:tcBorders>
            <w:shd w:val="clear" w:color="auto" w:fill="auto"/>
            <w:tcMar>
              <w:top w:w="0" w:type="dxa"/>
              <w:bottom w:w="0" w:type="dxa"/>
            </w:tcMar>
            <w:vAlign w:val="center"/>
          </w:tcPr>
          <w:p w:rsidR="0090517B" w:rsidRPr="0070115D" w:rsidRDefault="0070115D" w:rsidP="00243D8F">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Results 2025</w:t>
            </w:r>
          </w:p>
        </w:tc>
        <w:tc>
          <w:tcPr>
            <w:tcW w:w="1323" w:type="pct"/>
            <w:gridSpan w:val="2"/>
            <w:tcBorders>
              <w:top w:val="single" w:sz="4" w:space="0" w:color="000000"/>
              <w:left w:val="single" w:sz="4" w:space="0" w:color="000000"/>
              <w:right w:val="single" w:sz="4" w:space="0" w:color="000000"/>
            </w:tcBorders>
            <w:shd w:val="clear" w:color="auto" w:fill="auto"/>
            <w:tcMar>
              <w:top w:w="0" w:type="dxa"/>
              <w:bottom w:w="0" w:type="dxa"/>
            </w:tcMar>
            <w:vAlign w:val="center"/>
          </w:tcPr>
          <w:p w:rsidR="0090517B" w:rsidRPr="0070115D" w:rsidRDefault="0070115D" w:rsidP="00243D8F">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Plan 2026</w:t>
            </w:r>
          </w:p>
        </w:tc>
      </w:tr>
      <w:tr w:rsidR="0090517B" w:rsidRPr="0070115D" w:rsidTr="0070115D">
        <w:tc>
          <w:tcPr>
            <w:tcW w:w="297" w:type="pct"/>
            <w:vMerge/>
            <w:tcBorders>
              <w:top w:val="single" w:sz="4" w:space="0" w:color="000000"/>
              <w:left w:val="single" w:sz="4" w:space="0" w:color="000000"/>
            </w:tcBorders>
            <w:shd w:val="clear" w:color="auto" w:fill="auto"/>
            <w:tcMar>
              <w:top w:w="0" w:type="dxa"/>
              <w:bottom w:w="0" w:type="dxa"/>
            </w:tcMar>
            <w:vAlign w:val="center"/>
          </w:tcPr>
          <w:p w:rsidR="0090517B" w:rsidRPr="0070115D" w:rsidRDefault="0090517B" w:rsidP="00243D8F">
            <w:pPr>
              <w:pBdr>
                <w:top w:val="nil"/>
                <w:left w:val="nil"/>
                <w:bottom w:val="nil"/>
                <w:right w:val="nil"/>
                <w:between w:val="nil"/>
              </w:pBdr>
              <w:spacing w:after="120" w:line="360" w:lineRule="auto"/>
              <w:jc w:val="both"/>
              <w:rPr>
                <w:rFonts w:ascii="Arial" w:eastAsia="Arial" w:hAnsi="Arial" w:cs="Arial"/>
                <w:color w:val="010000"/>
                <w:sz w:val="20"/>
                <w:szCs w:val="20"/>
              </w:rPr>
            </w:pPr>
          </w:p>
        </w:tc>
        <w:tc>
          <w:tcPr>
            <w:tcW w:w="1689" w:type="pct"/>
            <w:vMerge/>
            <w:tcBorders>
              <w:top w:val="single" w:sz="4" w:space="0" w:color="000000"/>
              <w:left w:val="single" w:sz="4" w:space="0" w:color="000000"/>
            </w:tcBorders>
            <w:shd w:val="clear" w:color="auto" w:fill="auto"/>
            <w:tcMar>
              <w:top w:w="0" w:type="dxa"/>
              <w:bottom w:w="0" w:type="dxa"/>
            </w:tcMar>
            <w:vAlign w:val="center"/>
          </w:tcPr>
          <w:p w:rsidR="0090517B" w:rsidRPr="0070115D" w:rsidRDefault="0090517B" w:rsidP="00243D8F">
            <w:pPr>
              <w:pBdr>
                <w:top w:val="nil"/>
                <w:left w:val="nil"/>
                <w:bottom w:val="nil"/>
                <w:right w:val="nil"/>
                <w:between w:val="nil"/>
              </w:pBdr>
              <w:spacing w:after="120" w:line="360" w:lineRule="auto"/>
              <w:jc w:val="both"/>
              <w:rPr>
                <w:rFonts w:ascii="Arial" w:eastAsia="Arial" w:hAnsi="Arial" w:cs="Arial"/>
                <w:color w:val="010000"/>
                <w:sz w:val="20"/>
                <w:szCs w:val="20"/>
              </w:rPr>
            </w:pPr>
          </w:p>
        </w:tc>
        <w:tc>
          <w:tcPr>
            <w:tcW w:w="564" w:type="pct"/>
            <w:tcBorders>
              <w:top w:val="single" w:sz="4" w:space="0" w:color="000000"/>
              <w:left w:val="single" w:sz="4" w:space="0" w:color="000000"/>
            </w:tcBorders>
            <w:shd w:val="clear" w:color="auto" w:fill="auto"/>
            <w:tcMar>
              <w:top w:w="0" w:type="dxa"/>
              <w:bottom w:w="0" w:type="dxa"/>
            </w:tcMar>
            <w:vAlign w:val="center"/>
          </w:tcPr>
          <w:p w:rsidR="0090517B" w:rsidRPr="0070115D" w:rsidRDefault="0070115D" w:rsidP="00243D8F">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Plan</w:t>
            </w:r>
          </w:p>
        </w:tc>
        <w:tc>
          <w:tcPr>
            <w:tcW w:w="561" w:type="pct"/>
            <w:tcBorders>
              <w:top w:val="single" w:sz="4" w:space="0" w:color="000000"/>
              <w:left w:val="single" w:sz="4" w:space="0" w:color="000000"/>
            </w:tcBorders>
            <w:shd w:val="clear" w:color="auto" w:fill="auto"/>
            <w:tcMar>
              <w:top w:w="0" w:type="dxa"/>
              <w:bottom w:w="0" w:type="dxa"/>
            </w:tcMar>
            <w:vAlign w:val="center"/>
          </w:tcPr>
          <w:p w:rsidR="0090517B" w:rsidRPr="0070115D" w:rsidRDefault="0070115D" w:rsidP="00243D8F">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Results</w:t>
            </w:r>
          </w:p>
        </w:tc>
        <w:tc>
          <w:tcPr>
            <w:tcW w:w="566" w:type="pct"/>
            <w:tcBorders>
              <w:top w:val="single" w:sz="4" w:space="0" w:color="000000"/>
              <w:left w:val="single" w:sz="4" w:space="0" w:color="000000"/>
            </w:tcBorders>
            <w:shd w:val="clear" w:color="auto" w:fill="auto"/>
            <w:tcMar>
              <w:top w:w="0" w:type="dxa"/>
              <w:bottom w:w="0" w:type="dxa"/>
            </w:tcMar>
            <w:vAlign w:val="center"/>
          </w:tcPr>
          <w:p w:rsidR="0090517B" w:rsidRPr="0070115D" w:rsidRDefault="0070115D" w:rsidP="00243D8F">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Results/Plan (%)</w:t>
            </w:r>
          </w:p>
        </w:tc>
        <w:tc>
          <w:tcPr>
            <w:tcW w:w="609" w:type="pct"/>
            <w:tcBorders>
              <w:top w:val="single" w:sz="4" w:space="0" w:color="000000"/>
              <w:left w:val="single" w:sz="4" w:space="0" w:color="000000"/>
            </w:tcBorders>
            <w:shd w:val="clear" w:color="auto" w:fill="auto"/>
            <w:tcMar>
              <w:top w:w="0" w:type="dxa"/>
              <w:bottom w:w="0" w:type="dxa"/>
            </w:tcMar>
            <w:vAlign w:val="center"/>
          </w:tcPr>
          <w:p w:rsidR="0090517B" w:rsidRPr="0070115D" w:rsidRDefault="0070115D" w:rsidP="00243D8F">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Plan</w:t>
            </w:r>
          </w:p>
        </w:tc>
        <w:tc>
          <w:tcPr>
            <w:tcW w:w="714" w:type="pct"/>
            <w:tcBorders>
              <w:top w:val="single" w:sz="4" w:space="0" w:color="000000"/>
              <w:left w:val="single" w:sz="4" w:space="0" w:color="000000"/>
              <w:right w:val="single" w:sz="4" w:space="0" w:color="000000"/>
            </w:tcBorders>
            <w:shd w:val="clear" w:color="auto" w:fill="auto"/>
            <w:tcMar>
              <w:top w:w="0" w:type="dxa"/>
              <w:bottom w:w="0" w:type="dxa"/>
            </w:tcMar>
            <w:vAlign w:val="center"/>
          </w:tcPr>
          <w:p w:rsidR="0090517B" w:rsidRPr="0070115D" w:rsidRDefault="0070115D" w:rsidP="00243D8F">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 Plan/Results 2025</w:t>
            </w:r>
          </w:p>
        </w:tc>
      </w:tr>
      <w:tr w:rsidR="0090517B" w:rsidRPr="0070115D" w:rsidTr="0070115D">
        <w:tc>
          <w:tcPr>
            <w:tcW w:w="297" w:type="pct"/>
            <w:tcBorders>
              <w:top w:val="single" w:sz="4" w:space="0" w:color="000000"/>
              <w:left w:val="single" w:sz="4" w:space="0" w:color="000000"/>
            </w:tcBorders>
            <w:shd w:val="clear" w:color="auto" w:fill="auto"/>
            <w:tcMar>
              <w:top w:w="0" w:type="dxa"/>
              <w:bottom w:w="0" w:type="dxa"/>
            </w:tcMar>
            <w:vAlign w:val="center"/>
          </w:tcPr>
          <w:p w:rsidR="0090517B" w:rsidRPr="0070115D" w:rsidRDefault="0070115D" w:rsidP="00243D8F">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1</w:t>
            </w:r>
          </w:p>
        </w:tc>
        <w:tc>
          <w:tcPr>
            <w:tcW w:w="1689" w:type="pct"/>
            <w:tcBorders>
              <w:top w:val="single" w:sz="4" w:space="0" w:color="000000"/>
              <w:left w:val="single" w:sz="4" w:space="0" w:color="000000"/>
            </w:tcBorders>
            <w:shd w:val="clear" w:color="auto" w:fill="auto"/>
            <w:tcMar>
              <w:top w:w="0" w:type="dxa"/>
              <w:bottom w:w="0" w:type="dxa"/>
            </w:tcMar>
            <w:vAlign w:val="center"/>
          </w:tcPr>
          <w:p w:rsidR="0090517B" w:rsidRPr="0070115D" w:rsidRDefault="0070115D" w:rsidP="00243D8F">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Total revenue (Million VND)</w:t>
            </w:r>
          </w:p>
        </w:tc>
        <w:tc>
          <w:tcPr>
            <w:tcW w:w="564" w:type="pct"/>
            <w:tcBorders>
              <w:top w:val="single" w:sz="4" w:space="0" w:color="000000"/>
              <w:left w:val="single" w:sz="4" w:space="0" w:color="000000"/>
            </w:tcBorders>
            <w:shd w:val="clear" w:color="auto" w:fill="auto"/>
            <w:tcMar>
              <w:top w:w="0" w:type="dxa"/>
              <w:bottom w:w="0" w:type="dxa"/>
            </w:tcMar>
            <w:vAlign w:val="center"/>
          </w:tcPr>
          <w:p w:rsidR="0090517B" w:rsidRPr="0070115D" w:rsidRDefault="0070115D" w:rsidP="00243D8F">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7,320</w:t>
            </w:r>
          </w:p>
        </w:tc>
        <w:tc>
          <w:tcPr>
            <w:tcW w:w="561" w:type="pct"/>
            <w:tcBorders>
              <w:top w:val="single" w:sz="4" w:space="0" w:color="000000"/>
              <w:left w:val="single" w:sz="4" w:space="0" w:color="000000"/>
            </w:tcBorders>
            <w:shd w:val="clear" w:color="auto" w:fill="auto"/>
            <w:tcMar>
              <w:top w:w="0" w:type="dxa"/>
              <w:bottom w:w="0" w:type="dxa"/>
            </w:tcMar>
            <w:vAlign w:val="center"/>
          </w:tcPr>
          <w:p w:rsidR="0090517B" w:rsidRPr="0070115D" w:rsidRDefault="0070115D" w:rsidP="00243D8F">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5,530</w:t>
            </w:r>
          </w:p>
        </w:tc>
        <w:tc>
          <w:tcPr>
            <w:tcW w:w="566" w:type="pct"/>
            <w:tcBorders>
              <w:top w:val="single" w:sz="4" w:space="0" w:color="000000"/>
              <w:left w:val="single" w:sz="4" w:space="0" w:color="000000"/>
            </w:tcBorders>
            <w:shd w:val="clear" w:color="auto" w:fill="auto"/>
            <w:tcMar>
              <w:top w:w="0" w:type="dxa"/>
              <w:bottom w:w="0" w:type="dxa"/>
            </w:tcMar>
            <w:vAlign w:val="center"/>
          </w:tcPr>
          <w:p w:rsidR="0090517B" w:rsidRPr="0070115D" w:rsidRDefault="0070115D" w:rsidP="00243D8F">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75.56%</w:t>
            </w:r>
          </w:p>
        </w:tc>
        <w:tc>
          <w:tcPr>
            <w:tcW w:w="609" w:type="pct"/>
            <w:tcBorders>
              <w:top w:val="single" w:sz="4" w:space="0" w:color="000000"/>
              <w:left w:val="single" w:sz="4" w:space="0" w:color="000000"/>
            </w:tcBorders>
            <w:shd w:val="clear" w:color="auto" w:fill="auto"/>
            <w:tcMar>
              <w:top w:w="0" w:type="dxa"/>
              <w:bottom w:w="0" w:type="dxa"/>
            </w:tcMar>
            <w:vAlign w:val="center"/>
          </w:tcPr>
          <w:p w:rsidR="0090517B" w:rsidRPr="0070115D" w:rsidRDefault="0070115D" w:rsidP="00243D8F">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3,360</w:t>
            </w:r>
          </w:p>
        </w:tc>
        <w:tc>
          <w:tcPr>
            <w:tcW w:w="714" w:type="pct"/>
            <w:tcBorders>
              <w:top w:val="single" w:sz="4" w:space="0" w:color="000000"/>
              <w:left w:val="single" w:sz="4" w:space="0" w:color="000000"/>
              <w:right w:val="single" w:sz="4" w:space="0" w:color="000000"/>
            </w:tcBorders>
            <w:shd w:val="clear" w:color="auto" w:fill="auto"/>
            <w:tcMar>
              <w:top w:w="0" w:type="dxa"/>
              <w:bottom w:w="0" w:type="dxa"/>
            </w:tcMar>
            <w:vAlign w:val="center"/>
          </w:tcPr>
          <w:p w:rsidR="0090517B" w:rsidRPr="0070115D" w:rsidRDefault="0070115D" w:rsidP="00243D8F">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60.75%</w:t>
            </w:r>
          </w:p>
        </w:tc>
      </w:tr>
      <w:tr w:rsidR="0090517B" w:rsidRPr="0070115D" w:rsidTr="0070115D">
        <w:tc>
          <w:tcPr>
            <w:tcW w:w="297"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90517B" w:rsidRPr="0070115D" w:rsidRDefault="0070115D" w:rsidP="00243D8F">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2</w:t>
            </w:r>
          </w:p>
        </w:tc>
        <w:tc>
          <w:tcPr>
            <w:tcW w:w="1689"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90517B" w:rsidRPr="0070115D" w:rsidRDefault="0070115D" w:rsidP="00243D8F">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Profit before tax (Million VND)</w:t>
            </w:r>
          </w:p>
        </w:tc>
        <w:tc>
          <w:tcPr>
            <w:tcW w:w="564"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90517B" w:rsidRPr="0070115D" w:rsidRDefault="0070115D" w:rsidP="00243D8F">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407</w:t>
            </w:r>
          </w:p>
        </w:tc>
        <w:tc>
          <w:tcPr>
            <w:tcW w:w="561"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90517B" w:rsidRPr="0070115D" w:rsidRDefault="0070115D" w:rsidP="00243D8F">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50.6</w:t>
            </w:r>
          </w:p>
        </w:tc>
        <w:tc>
          <w:tcPr>
            <w:tcW w:w="566"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90517B" w:rsidRPr="0070115D" w:rsidRDefault="0070115D" w:rsidP="00243D8F">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-12.29%</w:t>
            </w:r>
          </w:p>
        </w:tc>
        <w:tc>
          <w:tcPr>
            <w:tcW w:w="609"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90517B" w:rsidRPr="0070115D" w:rsidRDefault="0070115D" w:rsidP="00243D8F">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272</w:t>
            </w:r>
          </w:p>
        </w:tc>
        <w:tc>
          <w:tcPr>
            <w:tcW w:w="714" w:type="pct"/>
            <w:tcBorders>
              <w:top w:val="single" w:sz="4" w:space="0" w:color="000000"/>
              <w:left w:val="single" w:sz="4" w:space="0" w:color="000000"/>
              <w:bottom w:val="single" w:sz="4" w:space="0" w:color="000000"/>
              <w:right w:val="single" w:sz="4" w:space="0" w:color="000000"/>
            </w:tcBorders>
            <w:shd w:val="clear" w:color="auto" w:fill="auto"/>
            <w:tcMar>
              <w:top w:w="0" w:type="dxa"/>
              <w:bottom w:w="0" w:type="dxa"/>
            </w:tcMar>
            <w:vAlign w:val="center"/>
          </w:tcPr>
          <w:p w:rsidR="0090517B" w:rsidRPr="0070115D" w:rsidRDefault="0090517B" w:rsidP="00243D8F">
            <w:pPr>
              <w:tabs>
                <w:tab w:val="left" w:pos="720"/>
              </w:tabs>
              <w:spacing w:after="120" w:line="360" w:lineRule="auto"/>
              <w:jc w:val="both"/>
              <w:rPr>
                <w:rFonts w:ascii="Arial" w:eastAsia="Arial" w:hAnsi="Arial" w:cs="Arial"/>
                <w:color w:val="010000"/>
                <w:sz w:val="20"/>
                <w:szCs w:val="20"/>
              </w:rPr>
            </w:pPr>
          </w:p>
        </w:tc>
      </w:tr>
    </w:tbl>
    <w:p w:rsidR="0090517B" w:rsidRPr="0070115D" w:rsidRDefault="0070115D" w:rsidP="00243D8F">
      <w:pPr>
        <w:keepNext/>
        <w:numPr>
          <w:ilvl w:val="0"/>
          <w:numId w:val="2"/>
        </w:numPr>
        <w:pBdr>
          <w:top w:val="nil"/>
          <w:left w:val="nil"/>
          <w:bottom w:val="nil"/>
          <w:right w:val="nil"/>
          <w:between w:val="nil"/>
        </w:pBdr>
        <w:tabs>
          <w:tab w:val="left" w:pos="422"/>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Explanation of the results in 2025</w:t>
      </w:r>
    </w:p>
    <w:p w:rsidR="0090517B" w:rsidRPr="0070115D" w:rsidRDefault="0070115D" w:rsidP="00243D8F">
      <w:pPr>
        <w:numPr>
          <w:ilvl w:val="0"/>
          <w:numId w:val="1"/>
        </w:numPr>
        <w:pBdr>
          <w:top w:val="nil"/>
          <w:left w:val="nil"/>
          <w:bottom w:val="nil"/>
          <w:right w:val="nil"/>
          <w:between w:val="nil"/>
        </w:pBdr>
        <w:tabs>
          <w:tab w:val="left" w:pos="422"/>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The revenue is mainly the rental revenue of the Factory.</w:t>
      </w:r>
    </w:p>
    <w:p w:rsidR="0090517B" w:rsidRPr="0070115D" w:rsidRDefault="0070115D" w:rsidP="00243D8F">
      <w:pPr>
        <w:numPr>
          <w:ilvl w:val="0"/>
          <w:numId w:val="1"/>
        </w:numPr>
        <w:pBdr>
          <w:top w:val="nil"/>
          <w:left w:val="nil"/>
          <w:bottom w:val="nil"/>
          <w:right w:val="nil"/>
          <w:between w:val="nil"/>
        </w:pBdr>
        <w:tabs>
          <w:tab w:val="left" w:pos="422"/>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Debt receivables: Most of them are bad debts, which cannot be recovered. Since then, there has been no source to pay outstanding liabilities (bank debts, debt for infrastructure fees, etc.)</w:t>
      </w:r>
    </w:p>
    <w:p w:rsidR="0090517B" w:rsidRPr="0070115D" w:rsidRDefault="0070115D" w:rsidP="00243D8F">
      <w:pPr>
        <w:numPr>
          <w:ilvl w:val="0"/>
          <w:numId w:val="1"/>
        </w:numPr>
        <w:pBdr>
          <w:top w:val="nil"/>
          <w:left w:val="nil"/>
          <w:bottom w:val="nil"/>
          <w:right w:val="nil"/>
          <w:between w:val="nil"/>
        </w:pBdr>
        <w:tabs>
          <w:tab w:val="left" w:pos="422"/>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Liabilities: Some immediately payable items affect the production and business activities of the lessee (if the Company does not pay in time): Outstanding lease and infrastructure fees; loan debt to Public Bank (principal + overdue interest). Therefore, the Company always has to set aside money to pay these amounts monthly as committed.</w:t>
      </w:r>
    </w:p>
    <w:p w:rsidR="0090517B" w:rsidRPr="0070115D" w:rsidRDefault="0070115D" w:rsidP="00243D8F">
      <w:pPr>
        <w:numPr>
          <w:ilvl w:val="0"/>
          <w:numId w:val="1"/>
        </w:numPr>
        <w:pBdr>
          <w:top w:val="nil"/>
          <w:left w:val="nil"/>
          <w:bottom w:val="nil"/>
          <w:right w:val="nil"/>
          <w:between w:val="nil"/>
        </w:pBdr>
        <w:tabs>
          <w:tab w:val="left" w:pos="422"/>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General and administrative expenses, in which executive management salaries have been reduced at least VND0 (due to executive personnel from other companies).</w:t>
      </w:r>
    </w:p>
    <w:p w:rsidR="0090517B" w:rsidRPr="0070115D" w:rsidRDefault="0070115D" w:rsidP="00243D8F">
      <w:pPr>
        <w:numPr>
          <w:ilvl w:val="0"/>
          <w:numId w:val="1"/>
        </w:numPr>
        <w:pBdr>
          <w:top w:val="nil"/>
          <w:left w:val="nil"/>
          <w:bottom w:val="nil"/>
          <w:right w:val="nil"/>
          <w:between w:val="nil"/>
        </w:pBdr>
        <w:tabs>
          <w:tab w:val="left" w:pos="422"/>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 xml:space="preserve">Several suppliers have initiated legal proceedings against the Company (including Phuong </w:t>
      </w:r>
      <w:proofErr w:type="spellStart"/>
      <w:r w:rsidRPr="0070115D">
        <w:rPr>
          <w:rFonts w:ascii="Arial" w:hAnsi="Arial" w:cs="Arial"/>
          <w:color w:val="010000"/>
          <w:sz w:val="20"/>
        </w:rPr>
        <w:t>Nga</w:t>
      </w:r>
      <w:proofErr w:type="spellEnd"/>
      <w:r w:rsidRPr="0070115D">
        <w:rPr>
          <w:rFonts w:ascii="Arial" w:hAnsi="Arial" w:cs="Arial"/>
          <w:color w:val="010000"/>
          <w:sz w:val="20"/>
        </w:rPr>
        <w:t xml:space="preserve"> Company). In addition, suppliers have aggressively pursued debt collection through various adverse measures.</w:t>
      </w:r>
    </w:p>
    <w:p w:rsidR="0090517B" w:rsidRPr="0070115D" w:rsidRDefault="0070115D" w:rsidP="00243D8F">
      <w:pPr>
        <w:keepNext/>
        <w:numPr>
          <w:ilvl w:val="0"/>
          <w:numId w:val="2"/>
        </w:numPr>
        <w:pBdr>
          <w:top w:val="nil"/>
          <w:left w:val="nil"/>
          <w:bottom w:val="nil"/>
          <w:right w:val="nil"/>
          <w:between w:val="nil"/>
        </w:pBdr>
        <w:tabs>
          <w:tab w:val="left" w:pos="422"/>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Explanation of the plan for 2026</w:t>
      </w:r>
    </w:p>
    <w:p w:rsidR="0090517B" w:rsidRPr="0070115D" w:rsidRDefault="0070115D" w:rsidP="00243D8F">
      <w:pPr>
        <w:numPr>
          <w:ilvl w:val="0"/>
          <w:numId w:val="1"/>
        </w:numPr>
        <w:pBdr>
          <w:top w:val="nil"/>
          <w:left w:val="nil"/>
          <w:bottom w:val="nil"/>
          <w:right w:val="nil"/>
          <w:between w:val="nil"/>
        </w:pBdr>
        <w:tabs>
          <w:tab w:val="left" w:pos="720"/>
          <w:tab w:val="left" w:pos="1108"/>
        </w:tabs>
        <w:spacing w:after="120" w:line="360" w:lineRule="auto"/>
        <w:jc w:val="both"/>
        <w:rPr>
          <w:rFonts w:ascii="Arial" w:eastAsia="Arial" w:hAnsi="Arial" w:cs="Arial"/>
          <w:color w:val="010000"/>
          <w:sz w:val="20"/>
          <w:szCs w:val="20"/>
        </w:rPr>
      </w:pPr>
      <w:r w:rsidRPr="0070115D">
        <w:rPr>
          <w:rFonts w:ascii="Arial" w:hAnsi="Arial" w:cs="Arial"/>
          <w:color w:val="010000"/>
          <w:sz w:val="20"/>
        </w:rPr>
        <w:t xml:space="preserve">Continue leasing Long </w:t>
      </w:r>
      <w:proofErr w:type="gramStart"/>
      <w:r w:rsidRPr="0070115D">
        <w:rPr>
          <w:rFonts w:ascii="Arial" w:hAnsi="Arial" w:cs="Arial"/>
          <w:color w:val="010000"/>
          <w:sz w:val="20"/>
        </w:rPr>
        <w:t>An</w:t>
      </w:r>
      <w:proofErr w:type="gramEnd"/>
      <w:r w:rsidRPr="0070115D">
        <w:rPr>
          <w:rFonts w:ascii="Arial" w:hAnsi="Arial" w:cs="Arial"/>
          <w:color w:val="010000"/>
          <w:sz w:val="20"/>
        </w:rPr>
        <w:t xml:space="preserve"> Factory and Bien Hoa Factory in accordance with the General Mandate of the General Meeting of Shareholders and the resolutions of the Board of Directors, to cut losses and preserve capital for shareholders.</w:t>
      </w:r>
    </w:p>
    <w:p w:rsidR="0090517B" w:rsidRPr="0070115D" w:rsidRDefault="0070115D" w:rsidP="00243D8F">
      <w:pPr>
        <w:numPr>
          <w:ilvl w:val="0"/>
          <w:numId w:val="1"/>
        </w:numPr>
        <w:pBdr>
          <w:top w:val="nil"/>
          <w:left w:val="nil"/>
          <w:bottom w:val="nil"/>
          <w:right w:val="nil"/>
          <w:between w:val="nil"/>
        </w:pBdr>
        <w:tabs>
          <w:tab w:val="left" w:pos="720"/>
          <w:tab w:val="left" w:pos="1108"/>
        </w:tabs>
        <w:spacing w:after="120" w:line="360" w:lineRule="auto"/>
        <w:jc w:val="both"/>
        <w:rPr>
          <w:rFonts w:ascii="Arial" w:eastAsia="Arial" w:hAnsi="Arial" w:cs="Arial"/>
          <w:color w:val="010000"/>
          <w:sz w:val="20"/>
          <w:szCs w:val="20"/>
        </w:rPr>
      </w:pPr>
      <w:r w:rsidRPr="0070115D">
        <w:rPr>
          <w:rFonts w:ascii="Arial" w:hAnsi="Arial" w:cs="Arial"/>
          <w:color w:val="010000"/>
          <w:sz w:val="20"/>
        </w:rPr>
        <w:t>Ensure the source of money to pay debts (outstanding bank debts, land rent, infrastructure fees, monthly taxes).</w:t>
      </w:r>
    </w:p>
    <w:p w:rsidR="0090517B" w:rsidRPr="0070115D" w:rsidRDefault="0070115D" w:rsidP="00243D8F">
      <w:pPr>
        <w:keepNext/>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 xml:space="preserve">Article 2: Approve the Audited Financial Statements 2025. </w:t>
      </w:r>
    </w:p>
    <w:p w:rsidR="0090517B" w:rsidRPr="0070115D" w:rsidRDefault="0070115D" w:rsidP="00243D8F">
      <w:pPr>
        <w:keepNext/>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Article 3: Approve the report of the Board of Directors and the report of the Supervisory Board</w:t>
      </w:r>
    </w:p>
    <w:p w:rsidR="0090517B" w:rsidRPr="0070115D" w:rsidRDefault="0070115D" w:rsidP="00243D8F">
      <w:pPr>
        <w:numPr>
          <w:ilvl w:val="0"/>
          <w:numId w:val="1"/>
        </w:numPr>
        <w:pBdr>
          <w:top w:val="nil"/>
          <w:left w:val="nil"/>
          <w:bottom w:val="nil"/>
          <w:right w:val="nil"/>
          <w:between w:val="nil"/>
        </w:pBdr>
        <w:tabs>
          <w:tab w:val="left" w:pos="720"/>
          <w:tab w:val="left" w:pos="1108"/>
        </w:tabs>
        <w:spacing w:after="120" w:line="360" w:lineRule="auto"/>
        <w:jc w:val="both"/>
        <w:rPr>
          <w:rFonts w:ascii="Arial" w:eastAsia="Arial" w:hAnsi="Arial" w:cs="Arial"/>
          <w:color w:val="010000"/>
          <w:sz w:val="20"/>
          <w:szCs w:val="20"/>
        </w:rPr>
      </w:pPr>
      <w:r w:rsidRPr="0070115D">
        <w:rPr>
          <w:rFonts w:ascii="Arial" w:hAnsi="Arial" w:cs="Arial"/>
          <w:color w:val="010000"/>
          <w:sz w:val="20"/>
        </w:rPr>
        <w:t>Approve the Report on activities in 2025 and operational plan for 2026 of the Board of Directors and the Supervisory Board.</w:t>
      </w:r>
    </w:p>
    <w:p w:rsidR="0090517B" w:rsidRPr="0070115D" w:rsidRDefault="0070115D" w:rsidP="00243D8F">
      <w:pPr>
        <w:keepNext/>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lastRenderedPageBreak/>
        <w:t>Article 4: Approve the selection of an audit company for the Financial Statements 2026.</w:t>
      </w:r>
    </w:p>
    <w:p w:rsidR="0090517B" w:rsidRPr="0070115D" w:rsidRDefault="0070115D" w:rsidP="00243D8F">
      <w:pPr>
        <w:numPr>
          <w:ilvl w:val="0"/>
          <w:numId w:val="1"/>
        </w:numPr>
        <w:pBdr>
          <w:top w:val="nil"/>
          <w:left w:val="nil"/>
          <w:bottom w:val="nil"/>
          <w:right w:val="nil"/>
          <w:between w:val="nil"/>
        </w:pBdr>
        <w:tabs>
          <w:tab w:val="left" w:pos="720"/>
          <w:tab w:val="left" w:pos="1108"/>
        </w:tabs>
        <w:spacing w:after="120" w:line="360" w:lineRule="auto"/>
        <w:jc w:val="both"/>
        <w:rPr>
          <w:rFonts w:ascii="Arial" w:eastAsia="Arial" w:hAnsi="Arial" w:cs="Arial"/>
          <w:color w:val="010000"/>
          <w:sz w:val="20"/>
          <w:szCs w:val="20"/>
        </w:rPr>
      </w:pPr>
      <w:r w:rsidRPr="0070115D">
        <w:rPr>
          <w:rFonts w:ascii="Arial" w:hAnsi="Arial" w:cs="Arial"/>
          <w:color w:val="010000"/>
          <w:sz w:val="20"/>
        </w:rPr>
        <w:t>Approve the selection of audit companies according to the Proposal: In 2025, the Company selects NVA Auditing Company Limited or audit companies approved by State agencies as the audit company for the Company's Financial Statements.</w:t>
      </w:r>
    </w:p>
    <w:p w:rsidR="0090517B" w:rsidRPr="0070115D" w:rsidRDefault="0070115D" w:rsidP="00243D8F">
      <w:pPr>
        <w:keepNext/>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Article 5: Approve the cancellation of public company status and the voluntary securities delisting.</w:t>
      </w:r>
    </w:p>
    <w:p w:rsidR="0090517B" w:rsidRPr="0070115D" w:rsidRDefault="0070115D" w:rsidP="00243D8F">
      <w:pPr>
        <w:numPr>
          <w:ilvl w:val="0"/>
          <w:numId w:val="1"/>
        </w:numPr>
        <w:pBdr>
          <w:top w:val="nil"/>
          <w:left w:val="nil"/>
          <w:bottom w:val="nil"/>
          <w:right w:val="nil"/>
          <w:between w:val="nil"/>
        </w:pBdr>
        <w:tabs>
          <w:tab w:val="left" w:pos="720"/>
          <w:tab w:val="left" w:pos="1108"/>
        </w:tabs>
        <w:spacing w:after="120" w:line="360" w:lineRule="auto"/>
        <w:jc w:val="both"/>
        <w:rPr>
          <w:rFonts w:ascii="Arial" w:eastAsia="Arial" w:hAnsi="Arial" w:cs="Arial"/>
          <w:color w:val="010000"/>
          <w:sz w:val="20"/>
          <w:szCs w:val="20"/>
        </w:rPr>
      </w:pPr>
      <w:r w:rsidRPr="0070115D">
        <w:rPr>
          <w:rFonts w:ascii="Arial" w:hAnsi="Arial" w:cs="Arial"/>
          <w:color w:val="010000"/>
          <w:sz w:val="20"/>
        </w:rPr>
        <w:t>Approve the contents of the cancellation of public company status and the voluntary securities delisting. Assign the Board of Directors and the Executive Board to develop and submit an implementation plan based on actual time conditions and in accordance with current laws.</w:t>
      </w:r>
    </w:p>
    <w:p w:rsidR="0090517B" w:rsidRPr="0070115D" w:rsidRDefault="0070115D" w:rsidP="00243D8F">
      <w:pPr>
        <w:keepNext/>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Article 6: Approve the policy on proposing the amicable settlement with Public Bank Vietnam Limited</w:t>
      </w:r>
    </w:p>
    <w:p w:rsidR="0090517B" w:rsidRPr="0070115D" w:rsidRDefault="0070115D" w:rsidP="00243D8F">
      <w:pPr>
        <w:pStyle w:val="ListParagraph"/>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Plan 1: Propose the waiver and reduction of off-balance-sheet debts while committing to fully and punctually repay on-balance-sheet debts.</w:t>
      </w:r>
    </w:p>
    <w:p w:rsidR="0090517B" w:rsidRPr="0070115D" w:rsidRDefault="0070115D" w:rsidP="00243D8F">
      <w:pPr>
        <w:numPr>
          <w:ilvl w:val="0"/>
          <w:numId w:val="1"/>
        </w:numPr>
        <w:pBdr>
          <w:top w:val="nil"/>
          <w:left w:val="nil"/>
          <w:bottom w:val="nil"/>
          <w:right w:val="nil"/>
          <w:between w:val="nil"/>
        </w:pBdr>
        <w:tabs>
          <w:tab w:val="left" w:pos="720"/>
          <w:tab w:val="left" w:pos="1108"/>
        </w:tabs>
        <w:spacing w:after="120" w:line="360" w:lineRule="auto"/>
        <w:jc w:val="both"/>
        <w:rPr>
          <w:rFonts w:ascii="Arial" w:eastAsia="Arial" w:hAnsi="Arial" w:cs="Arial"/>
          <w:color w:val="010000"/>
          <w:sz w:val="20"/>
          <w:szCs w:val="20"/>
        </w:rPr>
      </w:pPr>
      <w:r w:rsidRPr="0070115D">
        <w:rPr>
          <w:rFonts w:ascii="Arial" w:hAnsi="Arial" w:cs="Arial"/>
          <w:color w:val="010000"/>
          <w:sz w:val="20"/>
        </w:rPr>
        <w:t>For the off-balance-sheet debt under Credit Agreement No. BDG/000122/20 dated May 4, 2020:</w:t>
      </w:r>
    </w:p>
    <w:p w:rsidR="0090517B" w:rsidRPr="0070115D" w:rsidRDefault="0070115D" w:rsidP="00243D8F">
      <w:pPr>
        <w:numPr>
          <w:ilvl w:val="0"/>
          <w:numId w:val="4"/>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70115D">
        <w:rPr>
          <w:rFonts w:ascii="Arial" w:hAnsi="Arial" w:cs="Arial"/>
          <w:color w:val="010000"/>
          <w:sz w:val="20"/>
        </w:rPr>
        <w:t>Propose the full waiver of all penalty interest and penalty fees (if any) accrued to date.</w:t>
      </w:r>
    </w:p>
    <w:p w:rsidR="0090517B" w:rsidRPr="0070115D" w:rsidRDefault="0070115D" w:rsidP="00243D8F">
      <w:pPr>
        <w:numPr>
          <w:ilvl w:val="0"/>
          <w:numId w:val="4"/>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70115D">
        <w:rPr>
          <w:rFonts w:ascii="Arial" w:hAnsi="Arial" w:cs="Arial"/>
          <w:color w:val="010000"/>
          <w:sz w:val="20"/>
        </w:rPr>
        <w:t>For the principal debt: Propose a reduction of 60% of the outstanding amount; the remaining amount to be fully paid by BHC would be: VND13,875,173,326 × 40% = VND5,550,069,330.</w:t>
      </w:r>
    </w:p>
    <w:p w:rsidR="0090517B" w:rsidRPr="0070115D" w:rsidRDefault="0070115D" w:rsidP="00243D8F">
      <w:pPr>
        <w:numPr>
          <w:ilvl w:val="0"/>
          <w:numId w:val="1"/>
        </w:numPr>
        <w:pBdr>
          <w:top w:val="nil"/>
          <w:left w:val="nil"/>
          <w:bottom w:val="nil"/>
          <w:right w:val="nil"/>
          <w:between w:val="nil"/>
        </w:pBdr>
        <w:tabs>
          <w:tab w:val="left" w:pos="720"/>
          <w:tab w:val="left" w:pos="1108"/>
        </w:tabs>
        <w:spacing w:after="120" w:line="360" w:lineRule="auto"/>
        <w:jc w:val="both"/>
        <w:rPr>
          <w:rFonts w:ascii="Arial" w:eastAsia="Arial" w:hAnsi="Arial" w:cs="Arial"/>
          <w:color w:val="010000"/>
          <w:sz w:val="20"/>
          <w:szCs w:val="20"/>
        </w:rPr>
      </w:pPr>
      <w:r w:rsidRPr="0070115D">
        <w:rPr>
          <w:rFonts w:ascii="Arial" w:hAnsi="Arial" w:cs="Arial"/>
          <w:color w:val="010000"/>
          <w:sz w:val="20"/>
        </w:rPr>
        <w:t>For the on-balance-sheet debt under Credit Agreement No. BDG/000031/20 dated May 4, 2020: Commit to making full and timely repayments in accordance with the agreed repayment schedule.</w:t>
      </w:r>
    </w:p>
    <w:p w:rsidR="0090517B" w:rsidRPr="0070115D" w:rsidRDefault="0070115D" w:rsidP="00243D8F">
      <w:pPr>
        <w:numPr>
          <w:ilvl w:val="1"/>
          <w:numId w:val="5"/>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70115D">
        <w:rPr>
          <w:rFonts w:ascii="Arial" w:hAnsi="Arial" w:cs="Arial"/>
          <w:color w:val="010000"/>
          <w:sz w:val="20"/>
        </w:rPr>
        <w:t>Source of funds: A partner will provide BHC with a loan to fulfill its payment obligations to Public Bank.</w:t>
      </w:r>
    </w:p>
    <w:p w:rsidR="0090517B" w:rsidRPr="0070115D" w:rsidRDefault="0070115D" w:rsidP="00243D8F">
      <w:pPr>
        <w:numPr>
          <w:ilvl w:val="1"/>
          <w:numId w:val="5"/>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70115D">
        <w:rPr>
          <w:rFonts w:ascii="Arial" w:hAnsi="Arial" w:cs="Arial"/>
          <w:color w:val="010000"/>
          <w:sz w:val="20"/>
        </w:rPr>
        <w:t xml:space="preserve">In addition, BHC requests the extension of medium-term and long-term credit facilities to repay debts owed to partners, subject to Public Bank’s lending conditions. </w:t>
      </w:r>
    </w:p>
    <w:p w:rsidR="0090517B" w:rsidRPr="0070115D" w:rsidRDefault="0070115D" w:rsidP="00243D8F">
      <w:pPr>
        <w:pStyle w:val="ListParagraph"/>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t>Plan 2: Liquidation of assets to repay debts.</w:t>
      </w:r>
    </w:p>
    <w:p w:rsidR="0090517B" w:rsidRPr="0070115D" w:rsidRDefault="0070115D" w:rsidP="00243D8F">
      <w:pPr>
        <w:numPr>
          <w:ilvl w:val="0"/>
          <w:numId w:val="1"/>
        </w:numPr>
        <w:pBdr>
          <w:top w:val="nil"/>
          <w:left w:val="nil"/>
          <w:bottom w:val="nil"/>
          <w:right w:val="nil"/>
          <w:between w:val="nil"/>
        </w:pBdr>
        <w:tabs>
          <w:tab w:val="left" w:pos="720"/>
          <w:tab w:val="left" w:pos="1367"/>
        </w:tabs>
        <w:spacing w:after="120" w:line="360" w:lineRule="auto"/>
        <w:jc w:val="both"/>
        <w:rPr>
          <w:rFonts w:ascii="Arial" w:eastAsia="Arial" w:hAnsi="Arial" w:cs="Arial"/>
          <w:color w:val="010000"/>
          <w:sz w:val="20"/>
          <w:szCs w:val="20"/>
        </w:rPr>
      </w:pPr>
      <w:r w:rsidRPr="0070115D">
        <w:rPr>
          <w:rFonts w:ascii="Arial" w:hAnsi="Arial" w:cs="Arial"/>
          <w:color w:val="010000"/>
          <w:sz w:val="20"/>
        </w:rPr>
        <w:t>Information on proposed assets for liquidation</w:t>
      </w:r>
    </w:p>
    <w:p w:rsidR="0090517B" w:rsidRPr="0070115D" w:rsidRDefault="0070115D" w:rsidP="00243D8F">
      <w:pPr>
        <w:numPr>
          <w:ilvl w:val="1"/>
          <w:numId w:val="6"/>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70115D">
        <w:rPr>
          <w:rFonts w:ascii="Arial" w:hAnsi="Arial" w:cs="Arial"/>
          <w:color w:val="010000"/>
          <w:sz w:val="20"/>
        </w:rPr>
        <w:t>Asset name: Concrete production Factory</w:t>
      </w:r>
    </w:p>
    <w:p w:rsidR="0090517B" w:rsidRPr="0070115D" w:rsidRDefault="0070115D" w:rsidP="00243D8F">
      <w:pPr>
        <w:numPr>
          <w:ilvl w:val="1"/>
          <w:numId w:val="6"/>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70115D">
        <w:rPr>
          <w:rFonts w:ascii="Arial" w:hAnsi="Arial" w:cs="Arial"/>
          <w:color w:val="010000"/>
          <w:sz w:val="20"/>
        </w:rPr>
        <w:t xml:space="preserve">Location: Lots C5–C6, </w:t>
      </w:r>
      <w:proofErr w:type="spellStart"/>
      <w:r w:rsidRPr="0070115D">
        <w:rPr>
          <w:rFonts w:ascii="Arial" w:hAnsi="Arial" w:cs="Arial"/>
          <w:color w:val="010000"/>
          <w:sz w:val="20"/>
        </w:rPr>
        <w:t>Nhut</w:t>
      </w:r>
      <w:proofErr w:type="spellEnd"/>
      <w:r w:rsidRPr="0070115D">
        <w:rPr>
          <w:rFonts w:ascii="Arial" w:hAnsi="Arial" w:cs="Arial"/>
          <w:color w:val="010000"/>
          <w:sz w:val="20"/>
        </w:rPr>
        <w:t xml:space="preserve"> </w:t>
      </w:r>
      <w:proofErr w:type="spellStart"/>
      <w:r w:rsidRPr="0070115D">
        <w:rPr>
          <w:rFonts w:ascii="Arial" w:hAnsi="Arial" w:cs="Arial"/>
          <w:color w:val="010000"/>
          <w:sz w:val="20"/>
        </w:rPr>
        <w:t>Chanh</w:t>
      </w:r>
      <w:proofErr w:type="spellEnd"/>
      <w:r w:rsidRPr="0070115D">
        <w:rPr>
          <w:rFonts w:ascii="Arial" w:hAnsi="Arial" w:cs="Arial"/>
          <w:color w:val="010000"/>
          <w:sz w:val="20"/>
        </w:rPr>
        <w:t xml:space="preserve"> Industrial Park, Hamlet 5, </w:t>
      </w:r>
      <w:proofErr w:type="spellStart"/>
      <w:r w:rsidRPr="0070115D">
        <w:rPr>
          <w:rFonts w:ascii="Arial" w:hAnsi="Arial" w:cs="Arial"/>
          <w:color w:val="010000"/>
          <w:sz w:val="20"/>
        </w:rPr>
        <w:t>Binh</w:t>
      </w:r>
      <w:proofErr w:type="spellEnd"/>
      <w:r w:rsidRPr="0070115D">
        <w:rPr>
          <w:rFonts w:ascii="Arial" w:hAnsi="Arial" w:cs="Arial"/>
          <w:color w:val="010000"/>
          <w:sz w:val="20"/>
        </w:rPr>
        <w:t xml:space="preserve"> Duc Commune, </w:t>
      </w:r>
      <w:proofErr w:type="spellStart"/>
      <w:r w:rsidRPr="0070115D">
        <w:rPr>
          <w:rFonts w:ascii="Arial" w:hAnsi="Arial" w:cs="Arial"/>
          <w:color w:val="010000"/>
          <w:sz w:val="20"/>
        </w:rPr>
        <w:t>Tay</w:t>
      </w:r>
      <w:proofErr w:type="spellEnd"/>
      <w:r w:rsidRPr="0070115D">
        <w:rPr>
          <w:rFonts w:ascii="Arial" w:hAnsi="Arial" w:cs="Arial"/>
          <w:color w:val="010000"/>
          <w:sz w:val="20"/>
        </w:rPr>
        <w:t xml:space="preserve"> </w:t>
      </w:r>
      <w:proofErr w:type="spellStart"/>
      <w:r w:rsidRPr="0070115D">
        <w:rPr>
          <w:rFonts w:ascii="Arial" w:hAnsi="Arial" w:cs="Arial"/>
          <w:color w:val="010000"/>
          <w:sz w:val="20"/>
        </w:rPr>
        <w:t>Ninh</w:t>
      </w:r>
      <w:proofErr w:type="spellEnd"/>
      <w:r w:rsidRPr="0070115D">
        <w:rPr>
          <w:rFonts w:ascii="Arial" w:hAnsi="Arial" w:cs="Arial"/>
          <w:color w:val="010000"/>
          <w:sz w:val="20"/>
        </w:rPr>
        <w:t xml:space="preserve"> Province.</w:t>
      </w:r>
    </w:p>
    <w:p w:rsidR="0090517B" w:rsidRPr="0070115D" w:rsidRDefault="0070115D" w:rsidP="00243D8F">
      <w:pPr>
        <w:numPr>
          <w:ilvl w:val="1"/>
          <w:numId w:val="6"/>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70115D">
        <w:rPr>
          <w:rFonts w:ascii="Arial" w:hAnsi="Arial" w:cs="Arial"/>
          <w:color w:val="010000"/>
          <w:sz w:val="20"/>
        </w:rPr>
        <w:t>Owner: Bien Hoa Concrete Joint Stock Company</w:t>
      </w:r>
    </w:p>
    <w:p w:rsidR="0090517B" w:rsidRPr="0070115D" w:rsidRDefault="0070115D" w:rsidP="00243D8F">
      <w:pPr>
        <w:numPr>
          <w:ilvl w:val="1"/>
          <w:numId w:val="6"/>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70115D">
        <w:rPr>
          <w:rFonts w:ascii="Arial" w:hAnsi="Arial" w:cs="Arial"/>
          <w:color w:val="010000"/>
          <w:sz w:val="20"/>
        </w:rPr>
        <w:t>Current status: Including land-use rights (if any), factories, construction works, and other assets attached to the plant in accordance with the existing legal documentation.</w:t>
      </w:r>
    </w:p>
    <w:p w:rsidR="0090517B" w:rsidRPr="0070115D" w:rsidRDefault="0070115D" w:rsidP="00243D8F">
      <w:pPr>
        <w:numPr>
          <w:ilvl w:val="0"/>
          <w:numId w:val="3"/>
        </w:numPr>
        <w:pBdr>
          <w:top w:val="nil"/>
          <w:left w:val="nil"/>
          <w:bottom w:val="nil"/>
          <w:right w:val="nil"/>
          <w:between w:val="nil"/>
        </w:pBdr>
        <w:tabs>
          <w:tab w:val="left" w:pos="720"/>
          <w:tab w:val="left" w:pos="1367"/>
        </w:tabs>
        <w:spacing w:after="120" w:line="360" w:lineRule="auto"/>
        <w:jc w:val="both"/>
        <w:rPr>
          <w:rFonts w:ascii="Arial" w:eastAsia="Arial" w:hAnsi="Arial" w:cs="Arial"/>
          <w:color w:val="010000"/>
          <w:sz w:val="20"/>
          <w:szCs w:val="20"/>
        </w:rPr>
      </w:pPr>
      <w:r w:rsidRPr="0070115D">
        <w:rPr>
          <w:rFonts w:ascii="Arial" w:hAnsi="Arial" w:cs="Arial"/>
          <w:color w:val="010000"/>
          <w:sz w:val="20"/>
        </w:rPr>
        <w:t>Assign the Board of Directors and the Executive Board to develop and submit an implementation plan based on actual time conditions and in accordance with current laws.</w:t>
      </w:r>
    </w:p>
    <w:p w:rsidR="0090517B" w:rsidRPr="0070115D" w:rsidRDefault="0070115D" w:rsidP="00243D8F">
      <w:pPr>
        <w:keepNext/>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70115D">
        <w:rPr>
          <w:rFonts w:ascii="Arial" w:hAnsi="Arial" w:cs="Arial"/>
          <w:color w:val="010000"/>
          <w:sz w:val="20"/>
        </w:rPr>
        <w:lastRenderedPageBreak/>
        <w:t>Article 7: Terms of enforcement.</w:t>
      </w:r>
    </w:p>
    <w:p w:rsidR="0090517B" w:rsidRPr="0070115D" w:rsidRDefault="0070115D" w:rsidP="00243D8F">
      <w:pPr>
        <w:numPr>
          <w:ilvl w:val="0"/>
          <w:numId w:val="3"/>
        </w:numPr>
        <w:pBdr>
          <w:top w:val="nil"/>
          <w:left w:val="nil"/>
          <w:bottom w:val="nil"/>
          <w:right w:val="nil"/>
          <w:between w:val="nil"/>
        </w:pBdr>
        <w:tabs>
          <w:tab w:val="left" w:pos="720"/>
          <w:tab w:val="left" w:pos="1367"/>
        </w:tabs>
        <w:spacing w:after="120" w:line="360" w:lineRule="auto"/>
        <w:jc w:val="both"/>
        <w:rPr>
          <w:rFonts w:ascii="Arial" w:eastAsia="Arial" w:hAnsi="Arial" w:cs="Arial"/>
          <w:color w:val="010000"/>
          <w:sz w:val="20"/>
          <w:szCs w:val="20"/>
        </w:rPr>
      </w:pPr>
      <w:r w:rsidRPr="0070115D">
        <w:rPr>
          <w:rFonts w:ascii="Arial" w:hAnsi="Arial" w:cs="Arial"/>
          <w:color w:val="010000"/>
          <w:sz w:val="20"/>
        </w:rPr>
        <w:t>The full text of this General Mandate was approved by the General Meeting of Shareholders 2026 at the Meeting and takes effect from the date of its signing.</w:t>
      </w:r>
    </w:p>
    <w:p w:rsidR="0090517B" w:rsidRPr="0070115D" w:rsidRDefault="0070115D" w:rsidP="00243D8F">
      <w:pPr>
        <w:numPr>
          <w:ilvl w:val="0"/>
          <w:numId w:val="1"/>
        </w:numPr>
        <w:pBdr>
          <w:top w:val="nil"/>
          <w:left w:val="nil"/>
          <w:bottom w:val="nil"/>
          <w:right w:val="nil"/>
          <w:between w:val="nil"/>
        </w:pBdr>
        <w:tabs>
          <w:tab w:val="left" w:pos="720"/>
          <w:tab w:val="left" w:pos="1367"/>
        </w:tabs>
        <w:spacing w:after="120" w:line="360" w:lineRule="auto"/>
        <w:jc w:val="both"/>
        <w:rPr>
          <w:rFonts w:ascii="Arial" w:eastAsia="Arial" w:hAnsi="Arial" w:cs="Arial"/>
          <w:color w:val="010000"/>
          <w:sz w:val="20"/>
          <w:szCs w:val="20"/>
        </w:rPr>
      </w:pPr>
      <w:r w:rsidRPr="0070115D">
        <w:rPr>
          <w:rFonts w:ascii="Arial" w:hAnsi="Arial" w:cs="Arial"/>
          <w:color w:val="010000"/>
          <w:sz w:val="20"/>
        </w:rPr>
        <w:t>The Annual General Meeting of Shareholders 2026 of Bien Hoa Concrete Joint Stock Company assigned the Board of Directors and the Supervisory Board of the Company to organize the implementation of the General Mandate and direct and supervise the Executive Board of the Company in the implementation of works related to the contents of this General Mandate based on ensuring the highest interests for the Company, to shareholders and in accordance with the current provisions of law, the Company's Charter.</w:t>
      </w:r>
      <w:bookmarkEnd w:id="1"/>
    </w:p>
    <w:sectPr w:rsidR="0090517B" w:rsidRPr="0070115D" w:rsidSect="0070115D">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00F2F368-151E-4A16-985F-DE131BEF75D6}"/>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charset w:val="00"/>
    <w:family w:val="auto"/>
    <w:pitch w:val="default"/>
    <w:embedRegular r:id="rId2" w:fontKey="{C9019A47-D5D8-4789-BCB0-D7486141B41A}"/>
    <w:embedBold r:id="rId3" w:fontKey="{0B30B22B-F2C2-45E7-8E45-61CFD18B6A58}"/>
  </w:font>
  <w:font w:name="Georgia">
    <w:panose1 w:val="02040502050405020303"/>
    <w:charset w:val="00"/>
    <w:family w:val="roman"/>
    <w:pitch w:val="variable"/>
    <w:sig w:usb0="00000287" w:usb1="00000000" w:usb2="00000000" w:usb3="00000000" w:csb0="0000009F" w:csb1="00000000"/>
    <w:embedItalic r:id="rId4" w:fontKey="{C7C1B1B1-233C-4CB4-9DDA-4281FCA4FB99}"/>
  </w:font>
  <w:font w:name="Calibri">
    <w:panose1 w:val="020F0502020204030204"/>
    <w:charset w:val="00"/>
    <w:family w:val="swiss"/>
    <w:pitch w:val="variable"/>
    <w:sig w:usb0="E4002EFF" w:usb1="C200247B" w:usb2="00000009" w:usb3="00000000" w:csb0="000001FF" w:csb1="00000000"/>
    <w:embedRegular r:id="rId5" w:fontKey="{8C4CBC44-2095-4E2E-A575-E4F1C368CE96}"/>
  </w:font>
  <w:font w:name="Cambria">
    <w:panose1 w:val="02040503050406030204"/>
    <w:charset w:val="00"/>
    <w:family w:val="roman"/>
    <w:pitch w:val="variable"/>
    <w:sig w:usb0="E00006FF" w:usb1="420024FF" w:usb2="02000000" w:usb3="00000000" w:csb0="0000019F" w:csb1="00000000"/>
    <w:embedRegular r:id="rId6" w:fontKey="{01153F49-AD8A-434E-82DA-57404D4140A2}"/>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5C18"/>
      </v:shape>
    </w:pict>
  </w:numPicBullet>
  <w:abstractNum w:abstractNumId="0" w15:restartNumberingAfterBreak="0">
    <w:nsid w:val="087E7182"/>
    <w:multiLevelType w:val="multilevel"/>
    <w:tmpl w:val="CE9E2C34"/>
    <w:lvl w:ilvl="0">
      <w:start w:val="1"/>
      <w:numFmt w:val="bullet"/>
      <w:lvlText w:val="-"/>
      <w:lvlJc w:val="left"/>
      <w:pPr>
        <w:ind w:left="0" w:firstLine="0"/>
      </w:pPr>
      <w:rPr>
        <w:rFonts w:ascii="Arial" w:eastAsia="Arial" w:hAnsi="Arial" w:cs="Arial"/>
        <w:b w:val="0"/>
        <w:bCs w:val="0"/>
        <w:i w:val="0"/>
        <w:iCs w:val="0"/>
        <w:smallCaps w:val="0"/>
        <w:strike w:val="0"/>
        <w:color w:val="212028"/>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18507785"/>
    <w:multiLevelType w:val="multilevel"/>
    <w:tmpl w:val="16C25FAE"/>
    <w:lvl w:ilvl="0">
      <w:start w:val="1"/>
      <w:numFmt w:val="bullet"/>
      <w:lvlText w:val="o"/>
      <w:lvlJc w:val="left"/>
      <w:pPr>
        <w:ind w:left="720" w:hanging="360"/>
      </w:pPr>
      <w:rPr>
        <w:rFonts w:ascii="Courier New" w:eastAsia="Courier New" w:hAnsi="Courier New" w:cs="Courier New"/>
        <w:b w:val="0"/>
        <w:bCs w:val="0"/>
        <w:i w:val="0"/>
        <w:iCs w:val="0"/>
        <w:sz w:val="20"/>
        <w:szCs w:val="20"/>
      </w:rPr>
    </w:lvl>
    <w:lvl w:ilvl="1">
      <w:numFmt w:val="bullet"/>
      <w:lvlText w:val="●"/>
      <w:lvlJc w:val="left"/>
      <w:pPr>
        <w:ind w:left="1440" w:hanging="360"/>
      </w:pPr>
      <w:rPr>
        <w:rFonts w:ascii="Noto Sans Symbols" w:eastAsia="Noto Sans Symbols" w:hAnsi="Noto Sans Symbols" w:cs="Noto Sans Symbols"/>
        <w:b w:val="0"/>
        <w:bCs w:val="0"/>
        <w:i w:val="0"/>
        <w:iCs w:val="0"/>
        <w:sz w:val="20"/>
        <w:szCs w:val="20"/>
      </w:rPr>
    </w:lvl>
    <w:lvl w:ilvl="2">
      <w:start w:val="1"/>
      <w:numFmt w:val="bullet"/>
      <w:lvlText w:val="▪"/>
      <w:lvlJc w:val="left"/>
      <w:pPr>
        <w:ind w:left="2160" w:hanging="360"/>
      </w:pPr>
      <w:rPr>
        <w:rFonts w:ascii="Noto Sans Symbols" w:eastAsia="Noto Sans Symbols" w:hAnsi="Noto Sans Symbols" w:cs="Noto Sans Symbols"/>
        <w:b w:val="0"/>
        <w:bCs w:val="0"/>
        <w:i w:val="0"/>
        <w:iCs w:val="0"/>
        <w:sz w:val="20"/>
        <w:szCs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3D26BB9"/>
    <w:multiLevelType w:val="multilevel"/>
    <w:tmpl w:val="A7C4B65E"/>
    <w:lvl w:ilvl="0">
      <w:start w:val="1"/>
      <w:numFmt w:val="decimal"/>
      <w:lvlText w:val="%1."/>
      <w:lvlJc w:val="left"/>
      <w:pPr>
        <w:ind w:left="0" w:firstLine="0"/>
      </w:pPr>
      <w:rPr>
        <w:rFonts w:ascii="Arial" w:eastAsia="Arial" w:hAnsi="Arial" w:cs="Arial"/>
        <w:b w:val="0"/>
        <w:bCs w:val="0"/>
        <w:i w:val="0"/>
        <w:iCs w:val="0"/>
        <w:smallCaps w:val="0"/>
        <w:strike w:val="0"/>
        <w:color w:val="212028"/>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2A6C1F0A"/>
    <w:multiLevelType w:val="hybridMultilevel"/>
    <w:tmpl w:val="20326D8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8A051E"/>
    <w:multiLevelType w:val="multilevel"/>
    <w:tmpl w:val="10BC800E"/>
    <w:lvl w:ilvl="0">
      <w:start w:val="1"/>
      <w:numFmt w:val="bullet"/>
      <w:lvlText w:val="-"/>
      <w:lvlJc w:val="left"/>
      <w:pPr>
        <w:ind w:left="0" w:firstLine="0"/>
      </w:pPr>
      <w:rPr>
        <w:rFonts w:ascii="Arial" w:eastAsia="Arial" w:hAnsi="Arial" w:cs="Arial"/>
        <w:b w:val="0"/>
        <w:bCs w:val="0"/>
        <w:i w:val="0"/>
        <w:iCs w:val="0"/>
        <w:smallCaps w:val="0"/>
        <w:strike w:val="0"/>
        <w:color w:val="414146"/>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677F4082"/>
    <w:multiLevelType w:val="multilevel"/>
    <w:tmpl w:val="FBAEF9AA"/>
    <w:lvl w:ilvl="0">
      <w:start w:val="1"/>
      <w:numFmt w:val="bullet"/>
      <w:lvlText w:val="o"/>
      <w:lvlJc w:val="left"/>
      <w:pPr>
        <w:ind w:left="720" w:hanging="360"/>
      </w:pPr>
      <w:rPr>
        <w:rFonts w:ascii="Courier New" w:eastAsia="Courier New" w:hAnsi="Courier New" w:cs="Courier New"/>
        <w:b w:val="0"/>
        <w:bCs w:val="0"/>
        <w:i w:val="0"/>
        <w:iCs w:val="0"/>
        <w:sz w:val="20"/>
        <w:szCs w:val="20"/>
      </w:rPr>
    </w:lvl>
    <w:lvl w:ilvl="1">
      <w:start w:val="1"/>
      <w:numFmt w:val="bullet"/>
      <w:lvlText w:val="o"/>
      <w:lvlJc w:val="left"/>
      <w:pPr>
        <w:ind w:left="1440" w:hanging="360"/>
      </w:pPr>
      <w:rPr>
        <w:rFonts w:ascii="Courier New" w:eastAsia="Courier New" w:hAnsi="Courier New" w:cs="Courier New"/>
        <w:b w:val="0"/>
        <w:bCs w:val="0"/>
        <w:i w:val="0"/>
        <w:iCs w:val="0"/>
        <w:sz w:val="20"/>
        <w:szCs w:val="20"/>
      </w:rPr>
    </w:lvl>
    <w:lvl w:ilvl="2">
      <w:start w:val="1"/>
      <w:numFmt w:val="bullet"/>
      <w:lvlText w:val="▪"/>
      <w:lvlJc w:val="left"/>
      <w:pPr>
        <w:ind w:left="2160" w:hanging="360"/>
      </w:pPr>
      <w:rPr>
        <w:rFonts w:ascii="Noto Sans Symbols" w:eastAsia="Noto Sans Symbols" w:hAnsi="Noto Sans Symbols" w:cs="Noto Sans Symbols"/>
        <w:b w:val="0"/>
        <w:bCs w:val="0"/>
        <w:i w:val="0"/>
        <w:iCs w:val="0"/>
        <w:sz w:val="20"/>
        <w:szCs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B6A6760"/>
    <w:multiLevelType w:val="multilevel"/>
    <w:tmpl w:val="2FD67C66"/>
    <w:lvl w:ilvl="0">
      <w:start w:val="1"/>
      <w:numFmt w:val="bullet"/>
      <w:lvlText w:val="o"/>
      <w:lvlJc w:val="left"/>
      <w:pPr>
        <w:ind w:left="720" w:hanging="360"/>
      </w:pPr>
      <w:rPr>
        <w:rFonts w:ascii="Courier New" w:eastAsia="Courier New" w:hAnsi="Courier New" w:cs="Courier New"/>
        <w:b w:val="0"/>
        <w:bCs w:val="0"/>
        <w:i w:val="0"/>
        <w:iCs w:val="0"/>
        <w:sz w:val="20"/>
        <w:szCs w:val="20"/>
      </w:rPr>
    </w:lvl>
    <w:lvl w:ilvl="1">
      <w:start w:val="1"/>
      <w:numFmt w:val="bullet"/>
      <w:lvlText w:val="o"/>
      <w:lvlJc w:val="left"/>
      <w:pPr>
        <w:ind w:left="1440" w:hanging="360"/>
      </w:pPr>
      <w:rPr>
        <w:rFonts w:ascii="Courier New" w:eastAsia="Courier New" w:hAnsi="Courier New" w:cs="Courier New"/>
        <w:b w:val="0"/>
        <w:bCs w:val="0"/>
        <w:i w:val="0"/>
        <w:iCs w:val="0"/>
        <w:sz w:val="20"/>
        <w:szCs w:val="20"/>
      </w:rPr>
    </w:lvl>
    <w:lvl w:ilvl="2">
      <w:start w:val="1"/>
      <w:numFmt w:val="bullet"/>
      <w:lvlText w:val="▪"/>
      <w:lvlJc w:val="left"/>
      <w:pPr>
        <w:ind w:left="2160" w:hanging="360"/>
      </w:pPr>
      <w:rPr>
        <w:rFonts w:ascii="Noto Sans Symbols" w:eastAsia="Noto Sans Symbols" w:hAnsi="Noto Sans Symbols" w:cs="Noto Sans Symbols"/>
        <w:b w:val="0"/>
        <w:bCs w:val="0"/>
        <w:i w:val="0"/>
        <w:iCs w:val="0"/>
        <w:sz w:val="20"/>
        <w:szCs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2"/>
  </w:num>
  <w:num w:numId="3">
    <w:abstractNumId w:val="4"/>
  </w:num>
  <w:num w:numId="4">
    <w:abstractNumId w:val="1"/>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17B"/>
    <w:rsid w:val="00243D8F"/>
    <w:rsid w:val="0070115D"/>
    <w:rsid w:val="00734F0C"/>
    <w:rsid w:val="009051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6B818"/>
  <w15:docId w15:val="{8203ED95-7DED-41DD-A817-DF7078F55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 w:type="dxa"/>
        <w:bottom w:w="0" w:type="dxa"/>
        <w:right w:w="10" w:type="dxa"/>
      </w:tblCellMar>
    </w:tblPr>
  </w:style>
  <w:style w:type="paragraph" w:styleId="ListParagraph">
    <w:name w:val="List Paragraph"/>
    <w:basedOn w:val="Normal"/>
    <w:uiPriority w:val="34"/>
    <w:qFormat/>
    <w:rsid w:val="007011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iP76VWpeVighI2KNmjODypjqEw==">CgMxLjAyDmgub25odHh0ZGJnODB4OAByITF1S0JKbUNZSlphTXZITkpOaW1IZnZjTzJ6Y3lSRXVjVQ==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771</Words>
  <Characters>4396</Characters>
  <Application>Microsoft Office Word</Application>
  <DocSecurity>0</DocSecurity>
  <Lines>36</Lines>
  <Paragraphs>10</Paragraphs>
  <ScaleCrop>false</ScaleCrop>
  <Company>Microsoft</Company>
  <LinksUpToDate>false</LinksUpToDate>
  <CharactersWithSpaces>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Hoang Phuong Thao</cp:lastModifiedBy>
  <cp:revision>5</cp:revision>
  <dcterms:created xsi:type="dcterms:W3CDTF">2026-07-20T01:40:00Z</dcterms:created>
  <dcterms:modified xsi:type="dcterms:W3CDTF">2026-07-20T02:58:00Z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4570dcc3-40cc-41b1-b510-6a07c0249c85</vt:lpwstr>
  </property>
</Properties>
</file>